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19F" w:rsidRPr="00C3719F" w:rsidRDefault="00C3719F" w:rsidP="00C3719F">
      <w:pPr>
        <w:pStyle w:val="Subttulo"/>
        <w:spacing w:before="120" w:after="120" w:line="240" w:lineRule="auto"/>
        <w:rPr>
          <w:sz w:val="36"/>
          <w:szCs w:val="36"/>
          <w:u w:val="single"/>
          <w:lang w:val="es-PY"/>
        </w:rPr>
      </w:pPr>
      <w:r w:rsidRPr="00C3719F">
        <w:rPr>
          <w:sz w:val="36"/>
          <w:szCs w:val="36"/>
          <w:u w:val="single"/>
          <w:lang w:val="es-PY"/>
        </w:rPr>
        <w:t>Sección V</w:t>
      </w:r>
      <w:r>
        <w:rPr>
          <w:sz w:val="36"/>
          <w:szCs w:val="36"/>
          <w:u w:val="single"/>
          <w:lang w:val="es-PY"/>
        </w:rPr>
        <w:t>II</w:t>
      </w:r>
      <w:r w:rsidRPr="00C3719F">
        <w:rPr>
          <w:sz w:val="36"/>
          <w:szCs w:val="36"/>
          <w:u w:val="single"/>
          <w:lang w:val="es-PY"/>
        </w:rPr>
        <w:t>. Condiciones Especiales del Contrato (CEC)</w:t>
      </w:r>
    </w:p>
    <w:p w:rsidR="00C3719F" w:rsidRPr="00DD2224" w:rsidRDefault="00C3719F" w:rsidP="00C3719F">
      <w:pPr>
        <w:pStyle w:val="Sub-ClauseText"/>
        <w:pBdr>
          <w:top w:val="single" w:sz="4" w:space="1" w:color="auto"/>
          <w:bottom w:val="single" w:sz="4" w:space="1" w:color="auto"/>
        </w:pBdr>
        <w:spacing w:before="0" w:after="0" w:line="240" w:lineRule="auto"/>
        <w:rPr>
          <w:spacing w:val="0"/>
          <w:szCs w:val="24"/>
          <w:lang w:val="es-PY"/>
        </w:rPr>
      </w:pPr>
      <w:r w:rsidRPr="00DD2224">
        <w:rPr>
          <w:spacing w:val="0"/>
          <w:szCs w:val="24"/>
          <w:lang w:val="es-PY"/>
        </w:rPr>
        <w:t xml:space="preserve">Las siguientes Condiciones Especiales del Contrato (CEC) complementarán y/o enmendarán las Condiciones Generales del Contrato (CGC) En caso de haber conflicto, las provisiones aquí dispuestas prevalecerán sobre las de las CGC.  </w:t>
      </w:r>
    </w:p>
    <w:p w:rsidR="00C3719F" w:rsidRPr="00C3719F" w:rsidRDefault="00C3719F" w:rsidP="00C3719F">
      <w:pPr>
        <w:spacing w:line="240" w:lineRule="auto"/>
        <w:rPr>
          <w:i/>
          <w:iCs/>
          <w:sz w:val="22"/>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1560"/>
        <w:gridCol w:w="8079"/>
      </w:tblGrid>
      <w:tr w:rsidR="00C3719F" w:rsidRPr="000A1B93" w:rsidTr="00165D11">
        <w:tc>
          <w:tcPr>
            <w:tcW w:w="1560" w:type="dxa"/>
          </w:tcPr>
          <w:p w:rsidR="00C3719F" w:rsidRPr="000A1B93" w:rsidRDefault="00D13BA5" w:rsidP="00635958">
            <w:pPr>
              <w:spacing w:before="120" w:after="120" w:line="240" w:lineRule="auto"/>
              <w:ind w:left="360" w:hanging="360"/>
              <w:jc w:val="left"/>
              <w:rPr>
                <w:b/>
                <w:bCs/>
                <w:szCs w:val="24"/>
              </w:rPr>
            </w:pPr>
            <w:r>
              <w:rPr>
                <w:b/>
                <w:bCs/>
                <w:szCs w:val="24"/>
              </w:rPr>
              <w:t>CEC</w:t>
            </w:r>
            <w:r w:rsidR="00C3719F" w:rsidRPr="000A1B93">
              <w:rPr>
                <w:b/>
                <w:bCs/>
                <w:szCs w:val="24"/>
              </w:rPr>
              <w:t xml:space="preserve"> 3.1</w:t>
            </w:r>
          </w:p>
        </w:tc>
        <w:tc>
          <w:tcPr>
            <w:tcW w:w="8079" w:type="dxa"/>
          </w:tcPr>
          <w:p w:rsidR="00C3719F" w:rsidRDefault="00C3719F" w:rsidP="00635958">
            <w:pPr>
              <w:suppressAutoHyphens/>
              <w:spacing w:before="120" w:after="120" w:line="240" w:lineRule="auto"/>
              <w:ind w:right="57"/>
              <w:rPr>
                <w:szCs w:val="24"/>
                <w:lang w:eastAsia="en-US"/>
              </w:rPr>
            </w:pPr>
            <w:r w:rsidRPr="000A1B93">
              <w:rPr>
                <w:b/>
                <w:szCs w:val="24"/>
              </w:rPr>
              <w:t xml:space="preserve">La Contratante: </w:t>
            </w:r>
            <w:r w:rsidRPr="000A1B93">
              <w:rPr>
                <w:szCs w:val="24"/>
                <w:lang w:eastAsia="en-US"/>
              </w:rPr>
              <w:t>Es la Administración Nacional de Electricidad, entidad autárquica creada por Ley Nº 966 del 12 de agosto de 1964.</w:t>
            </w:r>
          </w:p>
          <w:p w:rsidR="006F41AA" w:rsidRDefault="006F41AA" w:rsidP="00E5480A">
            <w:pPr>
              <w:spacing w:beforeLines="40" w:before="96" w:afterLines="40" w:after="96" w:line="240" w:lineRule="auto"/>
              <w:ind w:right="57"/>
              <w:rPr>
                <w:szCs w:val="24"/>
                <w:lang w:eastAsia="en-US"/>
              </w:rPr>
            </w:pPr>
            <w:r>
              <w:rPr>
                <w:szCs w:val="24"/>
                <w:lang w:eastAsia="en-US"/>
              </w:rPr>
              <w:t xml:space="preserve">Los datos para notificaciones son: </w:t>
            </w:r>
          </w:p>
          <w:p w:rsidR="00ED2809" w:rsidRDefault="006F41AA">
            <w:pPr>
              <w:spacing w:beforeLines="40" w:before="96" w:afterLines="40" w:after="96" w:line="240" w:lineRule="auto"/>
              <w:ind w:right="57"/>
              <w:rPr>
                <w:szCs w:val="24"/>
                <w:lang w:eastAsia="en-US"/>
              </w:rPr>
            </w:pPr>
            <w:r w:rsidRPr="000A1B93">
              <w:rPr>
                <w:szCs w:val="24"/>
                <w:lang w:eastAsia="en-US"/>
              </w:rPr>
              <w:t>Atención: Presidente de la Administración Nacional de Electricidad</w:t>
            </w:r>
          </w:p>
          <w:p w:rsidR="00ED2809" w:rsidRDefault="006F41AA">
            <w:pPr>
              <w:spacing w:beforeLines="40" w:before="96" w:afterLines="40" w:after="96" w:line="240" w:lineRule="auto"/>
              <w:ind w:right="57"/>
              <w:rPr>
                <w:szCs w:val="24"/>
                <w:lang w:eastAsia="en-US"/>
              </w:rPr>
            </w:pPr>
            <w:r w:rsidRPr="000A1B93">
              <w:rPr>
                <w:szCs w:val="24"/>
                <w:lang w:eastAsia="en-US"/>
              </w:rPr>
              <w:t>Dirección: Avda. España 1268 y Padre Cardozo</w:t>
            </w:r>
          </w:p>
          <w:p w:rsidR="00ED2809" w:rsidRDefault="006F41AA">
            <w:pPr>
              <w:spacing w:beforeLines="40" w:before="96" w:afterLines="40" w:after="96" w:line="240" w:lineRule="auto"/>
              <w:ind w:right="57"/>
              <w:rPr>
                <w:szCs w:val="24"/>
                <w:lang w:eastAsia="en-US"/>
              </w:rPr>
            </w:pPr>
            <w:r w:rsidRPr="000A1B93">
              <w:rPr>
                <w:szCs w:val="24"/>
                <w:lang w:eastAsia="en-US"/>
              </w:rPr>
              <w:t>Piso/Oficina: Planta Baja – Mesa de Entrada</w:t>
            </w:r>
          </w:p>
          <w:p w:rsidR="00ED2809" w:rsidRDefault="006F41AA">
            <w:pPr>
              <w:spacing w:beforeLines="40" w:before="96" w:afterLines="40" w:after="96" w:line="240" w:lineRule="auto"/>
              <w:ind w:right="57"/>
              <w:rPr>
                <w:szCs w:val="24"/>
                <w:lang w:eastAsia="en-US"/>
              </w:rPr>
            </w:pPr>
            <w:r w:rsidRPr="000A1B93">
              <w:rPr>
                <w:szCs w:val="24"/>
                <w:lang w:eastAsia="en-US"/>
              </w:rPr>
              <w:t>Ciudad: Asunción</w:t>
            </w:r>
          </w:p>
          <w:p w:rsidR="00ED2809" w:rsidRDefault="006F41AA">
            <w:pPr>
              <w:spacing w:beforeLines="40" w:before="96" w:afterLines="40" w:after="96" w:line="240" w:lineRule="auto"/>
              <w:ind w:right="57"/>
              <w:rPr>
                <w:szCs w:val="24"/>
                <w:lang w:eastAsia="en-US"/>
              </w:rPr>
            </w:pPr>
            <w:r w:rsidRPr="000A1B93">
              <w:rPr>
                <w:szCs w:val="24"/>
                <w:lang w:eastAsia="en-US"/>
              </w:rPr>
              <w:t>Teléfono: (595-21) 211-001/20 - Fax: (595-21) 212-371 –  (595-21) 200-541</w:t>
            </w:r>
          </w:p>
          <w:p w:rsidR="00ED2809" w:rsidRDefault="006F41AA">
            <w:pPr>
              <w:spacing w:beforeLines="40" w:before="96" w:afterLines="40" w:after="96" w:line="240" w:lineRule="auto"/>
              <w:ind w:right="57"/>
              <w:rPr>
                <w:szCs w:val="24"/>
                <w:lang w:eastAsia="en-US"/>
              </w:rPr>
            </w:pPr>
            <w:r w:rsidRPr="000A1B93">
              <w:rPr>
                <w:szCs w:val="24"/>
                <w:lang w:eastAsia="en-US"/>
              </w:rPr>
              <w:t>Horario de atención: de 07:00 a 15:00 horas</w:t>
            </w:r>
          </w:p>
          <w:p w:rsidR="006F41AA" w:rsidRPr="000A1B93" w:rsidRDefault="006F41AA" w:rsidP="006F41AA">
            <w:pPr>
              <w:suppressAutoHyphens/>
              <w:spacing w:before="120" w:after="120" w:line="240" w:lineRule="auto"/>
              <w:ind w:right="57"/>
              <w:rPr>
                <w:i/>
                <w:iCs/>
                <w:szCs w:val="24"/>
              </w:rPr>
            </w:pPr>
            <w:r w:rsidRPr="000A1B93">
              <w:rPr>
                <w:szCs w:val="24"/>
                <w:lang w:eastAsia="en-US"/>
              </w:rPr>
              <w:t xml:space="preserve">Dirección electrónica: </w:t>
            </w:r>
            <w:hyperlink r:id="rId8" w:history="1">
              <w:r w:rsidRPr="000A1B93">
                <w:rPr>
                  <w:szCs w:val="24"/>
                  <w:lang w:eastAsia="en-US"/>
                </w:rPr>
                <w:t>ande@ande.gov.py</w:t>
              </w:r>
            </w:hyperlink>
          </w:p>
        </w:tc>
      </w:tr>
      <w:tr w:rsidR="00C3719F" w:rsidRPr="000A1B93" w:rsidTr="00165D11">
        <w:tc>
          <w:tcPr>
            <w:tcW w:w="1560" w:type="dxa"/>
          </w:tcPr>
          <w:p w:rsidR="00C3719F" w:rsidRPr="000A1B93" w:rsidRDefault="00D13BA5" w:rsidP="00635958">
            <w:pPr>
              <w:spacing w:before="120" w:after="120" w:line="240" w:lineRule="auto"/>
              <w:jc w:val="left"/>
              <w:rPr>
                <w:b/>
                <w:bCs/>
                <w:szCs w:val="24"/>
              </w:rPr>
            </w:pPr>
            <w:r>
              <w:rPr>
                <w:b/>
                <w:bCs/>
                <w:szCs w:val="24"/>
              </w:rPr>
              <w:t>CEC</w:t>
            </w:r>
            <w:r w:rsidR="005C05F0" w:rsidRPr="000A1B93">
              <w:rPr>
                <w:b/>
                <w:bCs/>
                <w:szCs w:val="24"/>
              </w:rPr>
              <w:t xml:space="preserve"> 4.4.1</w:t>
            </w:r>
          </w:p>
        </w:tc>
        <w:tc>
          <w:tcPr>
            <w:tcW w:w="8079" w:type="dxa"/>
            <w:vAlign w:val="center"/>
          </w:tcPr>
          <w:p w:rsidR="005C05F0" w:rsidRPr="000A1B93" w:rsidRDefault="005C05F0" w:rsidP="00635958">
            <w:pPr>
              <w:suppressAutoHyphens/>
              <w:spacing w:before="120" w:after="120" w:line="240" w:lineRule="auto"/>
              <w:ind w:right="95"/>
              <w:rPr>
                <w:b/>
                <w:szCs w:val="24"/>
              </w:rPr>
            </w:pPr>
            <w:r w:rsidRPr="000A1B93">
              <w:rPr>
                <w:b/>
                <w:szCs w:val="24"/>
              </w:rPr>
              <w:t>Documentaciones Generales</w:t>
            </w:r>
          </w:p>
          <w:p w:rsidR="005C05F0" w:rsidRPr="000A1B93" w:rsidRDefault="005C05F0" w:rsidP="00635958">
            <w:pPr>
              <w:suppressAutoHyphens/>
              <w:spacing w:before="120" w:after="120" w:line="240" w:lineRule="auto"/>
              <w:ind w:right="95"/>
              <w:rPr>
                <w:szCs w:val="24"/>
                <w:lang w:eastAsia="en-US"/>
              </w:rPr>
            </w:pPr>
            <w:r w:rsidRPr="000A1B93">
              <w:rPr>
                <w:szCs w:val="24"/>
                <w:lang w:eastAsia="en-US"/>
              </w:rPr>
              <w:t>La realización de estudios y gestiones necesarias para obtener la licencia ambiental</w:t>
            </w:r>
            <w:r w:rsidR="00056525">
              <w:rPr>
                <w:szCs w:val="24"/>
                <w:lang w:eastAsia="en-US"/>
              </w:rPr>
              <w:t xml:space="preserve"> </w:t>
            </w:r>
            <w:r w:rsidR="00965D42">
              <w:rPr>
                <w:szCs w:val="24"/>
                <w:lang w:eastAsia="en-US"/>
              </w:rPr>
              <w:t xml:space="preserve">o Declaración de Impacto Ambiental (DIA) </w:t>
            </w:r>
            <w:r w:rsidRPr="000A1B93">
              <w:rPr>
                <w:szCs w:val="24"/>
                <w:lang w:eastAsia="en-US"/>
              </w:rPr>
              <w:t xml:space="preserve">a ser otorgada por la Secretaría del Ambiente (SEAM) </w:t>
            </w:r>
            <w:r w:rsidR="00965D42">
              <w:rPr>
                <w:szCs w:val="24"/>
                <w:lang w:eastAsia="en-US"/>
              </w:rPr>
              <w:t xml:space="preserve">previo al inicio de </w:t>
            </w:r>
            <w:r w:rsidRPr="000A1B93">
              <w:rPr>
                <w:szCs w:val="24"/>
                <w:lang w:eastAsia="en-US"/>
              </w:rPr>
              <w:t>la ejecución de las obras previstas estará a costo y cargo del PIEE.</w:t>
            </w:r>
            <w:r w:rsidR="00965D42">
              <w:rPr>
                <w:szCs w:val="24"/>
                <w:lang w:eastAsia="en-US"/>
              </w:rPr>
              <w:t xml:space="preserve"> Asimismo, el PIEE será responsable de implementar las medidas de protección ambiental previstas en el Plan de Gestión Ambiental del proye</w:t>
            </w:r>
            <w:r w:rsidR="00424F27">
              <w:rPr>
                <w:szCs w:val="24"/>
                <w:lang w:eastAsia="en-US"/>
              </w:rPr>
              <w:t>c</w:t>
            </w:r>
            <w:r w:rsidR="00965D42">
              <w:rPr>
                <w:szCs w:val="24"/>
                <w:lang w:eastAsia="en-US"/>
              </w:rPr>
              <w:t>to</w:t>
            </w:r>
            <w:r w:rsidR="002E4673">
              <w:rPr>
                <w:szCs w:val="24"/>
                <w:lang w:eastAsia="en-US"/>
              </w:rPr>
              <w:t xml:space="preserve"> durante el periodo de vigencia del Contrato</w:t>
            </w:r>
            <w:r w:rsidR="00965D42">
              <w:rPr>
                <w:szCs w:val="24"/>
                <w:lang w:eastAsia="en-US"/>
              </w:rPr>
              <w:t>, así como las demás medidas que determine la SEAM en la correspondiente DIA.</w:t>
            </w:r>
          </w:p>
          <w:p w:rsidR="00C3719F" w:rsidRPr="000A1B93" w:rsidRDefault="005C05F0" w:rsidP="00275A07">
            <w:pPr>
              <w:suppressAutoHyphens/>
              <w:spacing w:before="120" w:after="120" w:line="240" w:lineRule="auto"/>
              <w:ind w:right="95"/>
              <w:rPr>
                <w:szCs w:val="24"/>
              </w:rPr>
            </w:pPr>
            <w:r w:rsidRPr="000A1B93">
              <w:rPr>
                <w:szCs w:val="24"/>
                <w:lang w:eastAsia="en-US"/>
              </w:rPr>
              <w:t xml:space="preserve">La gestión de los aspectos sociales y el plan de acción para la adquisición de tierras necesarias para la ejecución del </w:t>
            </w:r>
            <w:r w:rsidR="00275A07">
              <w:rPr>
                <w:szCs w:val="24"/>
                <w:lang w:eastAsia="en-US"/>
              </w:rPr>
              <w:t>Contrato</w:t>
            </w:r>
            <w:r w:rsidRPr="000A1B93">
              <w:rPr>
                <w:szCs w:val="24"/>
                <w:lang w:eastAsia="en-US"/>
              </w:rPr>
              <w:t>, además del apoyo a las personas que deban de ser relocalizadas o sufran af</w:t>
            </w:r>
            <w:r w:rsidR="00275A07">
              <w:rPr>
                <w:szCs w:val="24"/>
                <w:lang w:eastAsia="en-US"/>
              </w:rPr>
              <w:t>ectaciones en sus bienes estará</w:t>
            </w:r>
            <w:r w:rsidRPr="000A1B93">
              <w:rPr>
                <w:szCs w:val="24"/>
                <w:lang w:eastAsia="en-US"/>
              </w:rPr>
              <w:t xml:space="preserve"> a cargo del PIEE con un seguimiento pormenorizado por parte de ANDE.</w:t>
            </w:r>
          </w:p>
        </w:tc>
      </w:tr>
      <w:tr w:rsidR="005C05F0" w:rsidRPr="000A1B93" w:rsidTr="00165D11">
        <w:tc>
          <w:tcPr>
            <w:tcW w:w="1560" w:type="dxa"/>
          </w:tcPr>
          <w:p w:rsidR="005C05F0" w:rsidRPr="000A1B93" w:rsidRDefault="00D13BA5" w:rsidP="00635958">
            <w:pPr>
              <w:spacing w:before="120" w:after="120" w:line="240" w:lineRule="auto"/>
              <w:jc w:val="left"/>
              <w:rPr>
                <w:b/>
                <w:bCs/>
                <w:szCs w:val="24"/>
              </w:rPr>
            </w:pPr>
            <w:r>
              <w:rPr>
                <w:b/>
                <w:bCs/>
                <w:szCs w:val="24"/>
              </w:rPr>
              <w:t>CEC</w:t>
            </w:r>
            <w:r w:rsidR="005C05F0" w:rsidRPr="000A1B93">
              <w:rPr>
                <w:b/>
                <w:bCs/>
                <w:szCs w:val="24"/>
              </w:rPr>
              <w:t xml:space="preserve"> 6.1.1 </w:t>
            </w:r>
          </w:p>
        </w:tc>
        <w:tc>
          <w:tcPr>
            <w:tcW w:w="8079" w:type="dxa"/>
            <w:vAlign w:val="center"/>
          </w:tcPr>
          <w:p w:rsidR="00097D20" w:rsidRPr="000A1B93" w:rsidRDefault="00097D20" w:rsidP="00635958">
            <w:pPr>
              <w:suppressAutoHyphens/>
              <w:spacing w:before="120" w:after="120" w:line="240" w:lineRule="auto"/>
              <w:ind w:right="95"/>
              <w:rPr>
                <w:b/>
                <w:szCs w:val="24"/>
              </w:rPr>
            </w:pPr>
            <w:r w:rsidRPr="000A1B93">
              <w:rPr>
                <w:b/>
                <w:szCs w:val="24"/>
              </w:rPr>
              <w:t xml:space="preserve">Garantía de Cumplimiento de Contrato </w:t>
            </w:r>
          </w:p>
          <w:p w:rsidR="00162FDD" w:rsidRDefault="00162FDD" w:rsidP="00162FDD">
            <w:pPr>
              <w:suppressAutoHyphens/>
              <w:spacing w:before="120" w:after="120" w:line="240" w:lineRule="auto"/>
              <w:ind w:right="95"/>
              <w:rPr>
                <w:szCs w:val="24"/>
                <w:lang w:eastAsia="en-US"/>
              </w:rPr>
            </w:pPr>
            <w:r w:rsidRPr="002C5F5C">
              <w:rPr>
                <w:szCs w:val="24"/>
                <w:lang w:eastAsia="en-US"/>
              </w:rPr>
              <w:t xml:space="preserve">El </w:t>
            </w:r>
            <w:r>
              <w:rPr>
                <w:szCs w:val="24"/>
                <w:lang w:eastAsia="en-US"/>
              </w:rPr>
              <w:t>PIEE</w:t>
            </w:r>
            <w:r w:rsidRPr="002C5F5C">
              <w:rPr>
                <w:szCs w:val="24"/>
                <w:lang w:eastAsia="en-US"/>
              </w:rPr>
              <w:t xml:space="preserve"> garantizará el fiel cumplimiento del Contrato, mediante la presentación de Pólizas de Caución emitidas por una compañía de Seguros autorizada a operar y emitir pólizas de seguros de caución en la República del Paraguay y/o mediante la presentación de una Fianza Bancaria emitida por un Banco local de primer orden y constituido en la República del Paraguay</w:t>
            </w:r>
            <w:r w:rsidR="00DB5CEB">
              <w:rPr>
                <w:szCs w:val="24"/>
                <w:lang w:eastAsia="en-US"/>
              </w:rPr>
              <w:t>.</w:t>
            </w:r>
          </w:p>
          <w:p w:rsidR="00162FDD" w:rsidRDefault="00162FDD" w:rsidP="00162FDD">
            <w:pPr>
              <w:suppressAutoHyphens/>
              <w:spacing w:before="120" w:after="120" w:line="240" w:lineRule="auto"/>
              <w:ind w:right="95"/>
              <w:rPr>
                <w:szCs w:val="24"/>
                <w:lang w:eastAsia="en-US"/>
              </w:rPr>
            </w:pPr>
            <w:r>
              <w:rPr>
                <w:szCs w:val="24"/>
                <w:lang w:eastAsia="en-US"/>
              </w:rPr>
              <w:t>Deberá presentar garantías de cumplimiento de contrato en las siguientes etapas contractuales:</w:t>
            </w:r>
          </w:p>
          <w:p w:rsidR="00162FDD" w:rsidRPr="00162FDD" w:rsidRDefault="00162FDD" w:rsidP="00162FDD">
            <w:pPr>
              <w:suppressAutoHyphens/>
              <w:spacing w:before="120" w:after="120" w:line="240" w:lineRule="auto"/>
              <w:ind w:right="95"/>
              <w:rPr>
                <w:szCs w:val="24"/>
                <w:u w:val="single"/>
                <w:lang w:eastAsia="en-US"/>
              </w:rPr>
            </w:pPr>
            <w:r w:rsidRPr="00162FDD">
              <w:rPr>
                <w:szCs w:val="24"/>
                <w:u w:val="single"/>
                <w:lang w:eastAsia="en-US"/>
              </w:rPr>
              <w:t>Terminación de Obras</w:t>
            </w:r>
          </w:p>
          <w:p w:rsidR="005C05F0" w:rsidRDefault="003570AF" w:rsidP="00097D20">
            <w:pPr>
              <w:suppressAutoHyphens/>
              <w:spacing w:before="120" w:after="120" w:line="240" w:lineRule="auto"/>
              <w:ind w:right="95"/>
              <w:rPr>
                <w:szCs w:val="24"/>
                <w:lang w:eastAsia="en-US"/>
              </w:rPr>
            </w:pPr>
            <w:r>
              <w:rPr>
                <w:szCs w:val="24"/>
              </w:rPr>
              <w:t>D</w:t>
            </w:r>
            <w:r w:rsidRPr="003570AF">
              <w:rPr>
                <w:szCs w:val="24"/>
              </w:rPr>
              <w:t xml:space="preserve">entro de los diez (10) días calendario </w:t>
            </w:r>
            <w:proofErr w:type="gramStart"/>
            <w:r w:rsidRPr="003570AF">
              <w:rPr>
                <w:szCs w:val="24"/>
              </w:rPr>
              <w:t>siguiente</w:t>
            </w:r>
            <w:r>
              <w:rPr>
                <w:szCs w:val="24"/>
              </w:rPr>
              <w:t>s</w:t>
            </w:r>
            <w:proofErr w:type="gramEnd"/>
            <w:r w:rsidRPr="003570AF">
              <w:rPr>
                <w:szCs w:val="24"/>
              </w:rPr>
              <w:t xml:space="preserve"> a partir de la fecha de suscripción del Contrato</w:t>
            </w:r>
            <w:r>
              <w:rPr>
                <w:szCs w:val="24"/>
              </w:rPr>
              <w:t xml:space="preserve"> el PIEE deberá presentar una garantía de terminación </w:t>
            </w:r>
            <w:r>
              <w:rPr>
                <w:szCs w:val="24"/>
              </w:rPr>
              <w:lastRenderedPageBreak/>
              <w:t xml:space="preserve">de obras. Esta </w:t>
            </w:r>
            <w:r w:rsidR="000D2343">
              <w:rPr>
                <w:szCs w:val="24"/>
              </w:rPr>
              <w:t xml:space="preserve">Garantía corresponderá al </w:t>
            </w:r>
            <w:r w:rsidR="005C05F0" w:rsidRPr="00162FDD">
              <w:rPr>
                <w:szCs w:val="24"/>
                <w:lang w:eastAsia="en-US"/>
              </w:rPr>
              <w:t>Diez por ciento (10%) del precio total de la inversión indicada en el Resumen Global de la Partida N°5.</w:t>
            </w:r>
          </w:p>
          <w:p w:rsidR="00A00410" w:rsidRDefault="00A00410" w:rsidP="00097D20">
            <w:pPr>
              <w:suppressAutoHyphens/>
              <w:spacing w:before="120" w:after="120" w:line="240" w:lineRule="auto"/>
              <w:ind w:right="95"/>
              <w:rPr>
                <w:szCs w:val="24"/>
                <w:lang w:eastAsia="en-US"/>
              </w:rPr>
            </w:pPr>
            <w:r>
              <w:rPr>
                <w:szCs w:val="24"/>
                <w:lang w:eastAsia="en-US"/>
              </w:rPr>
              <w:t xml:space="preserve">Esta garantía será liberada por ANDE </w:t>
            </w:r>
            <w:r w:rsidRPr="00A00410">
              <w:rPr>
                <w:szCs w:val="24"/>
                <w:lang w:eastAsia="en-US"/>
              </w:rPr>
              <w:t xml:space="preserve">y devuelta al </w:t>
            </w:r>
            <w:r>
              <w:rPr>
                <w:szCs w:val="24"/>
                <w:lang w:eastAsia="en-US"/>
              </w:rPr>
              <w:t>PIEE</w:t>
            </w:r>
            <w:r w:rsidRPr="00A00410">
              <w:rPr>
                <w:szCs w:val="24"/>
                <w:lang w:eastAsia="en-US"/>
              </w:rPr>
              <w:t xml:space="preserve"> a más tardar treinta (30) días contados a partir de la fecha </w:t>
            </w:r>
            <w:r>
              <w:rPr>
                <w:szCs w:val="24"/>
                <w:lang w:eastAsia="en-US"/>
              </w:rPr>
              <w:t xml:space="preserve">de inicio de la operación comercial. </w:t>
            </w:r>
          </w:p>
          <w:p w:rsidR="00162FDD" w:rsidRPr="00162FDD" w:rsidRDefault="00162FDD" w:rsidP="00097D20">
            <w:pPr>
              <w:suppressAutoHyphens/>
              <w:spacing w:before="120" w:after="120" w:line="240" w:lineRule="auto"/>
              <w:ind w:right="95"/>
              <w:rPr>
                <w:szCs w:val="24"/>
                <w:u w:val="single"/>
                <w:lang w:eastAsia="en-US"/>
              </w:rPr>
            </w:pPr>
            <w:r w:rsidRPr="00162FDD">
              <w:rPr>
                <w:szCs w:val="24"/>
                <w:u w:val="single"/>
                <w:lang w:eastAsia="en-US"/>
              </w:rPr>
              <w:t xml:space="preserve">Operación Comercial  </w:t>
            </w:r>
          </w:p>
          <w:p w:rsidR="002C5F5C" w:rsidRDefault="00482151" w:rsidP="00162FDD">
            <w:pPr>
              <w:suppressAutoHyphens/>
              <w:spacing w:before="120" w:after="120" w:line="240" w:lineRule="auto"/>
              <w:ind w:right="95"/>
              <w:rPr>
                <w:szCs w:val="24"/>
              </w:rPr>
            </w:pPr>
            <w:r>
              <w:rPr>
                <w:szCs w:val="24"/>
              </w:rPr>
              <w:t>A partir del inicio de la operación comercial y hasta la culminación de la vigencia del Contrato e</w:t>
            </w:r>
            <w:r w:rsidR="002C5F5C">
              <w:rPr>
                <w:szCs w:val="24"/>
              </w:rPr>
              <w:t xml:space="preserve">l PIEE deberá presentar </w:t>
            </w:r>
            <w:r w:rsidR="002C5F5C" w:rsidRPr="002C5F5C">
              <w:rPr>
                <w:szCs w:val="24"/>
              </w:rPr>
              <w:t>hasta el 30 de setiembre del año anterior al de</w:t>
            </w:r>
            <w:r w:rsidR="00680B8A">
              <w:rPr>
                <w:szCs w:val="24"/>
              </w:rPr>
              <w:t>l año de</w:t>
            </w:r>
            <w:r w:rsidR="002C5F5C" w:rsidRPr="002C5F5C">
              <w:rPr>
                <w:szCs w:val="24"/>
              </w:rPr>
              <w:t xml:space="preserve"> inicio de suministro </w:t>
            </w:r>
            <w:r w:rsidR="00162FDD">
              <w:rPr>
                <w:szCs w:val="24"/>
              </w:rPr>
              <w:t xml:space="preserve">de energía eléctrica </w:t>
            </w:r>
            <w:r w:rsidR="002C5F5C" w:rsidRPr="002C5F5C">
              <w:rPr>
                <w:szCs w:val="24"/>
              </w:rPr>
              <w:t xml:space="preserve">según el </w:t>
            </w:r>
            <w:r w:rsidR="002C5F5C">
              <w:rPr>
                <w:szCs w:val="24"/>
              </w:rPr>
              <w:t>c</w:t>
            </w:r>
            <w:r w:rsidR="002C5F5C" w:rsidRPr="002C5F5C">
              <w:rPr>
                <w:szCs w:val="24"/>
              </w:rPr>
              <w:t>ronograma</w:t>
            </w:r>
            <w:r w:rsidR="00056525">
              <w:rPr>
                <w:szCs w:val="24"/>
              </w:rPr>
              <w:t xml:space="preserve"> </w:t>
            </w:r>
            <w:r w:rsidR="00162FDD">
              <w:rPr>
                <w:szCs w:val="24"/>
              </w:rPr>
              <w:t>respectivo</w:t>
            </w:r>
            <w:r w:rsidR="00056525">
              <w:rPr>
                <w:szCs w:val="24"/>
              </w:rPr>
              <w:t xml:space="preserve"> </w:t>
            </w:r>
            <w:r w:rsidR="00AE77E7">
              <w:rPr>
                <w:szCs w:val="24"/>
              </w:rPr>
              <w:t xml:space="preserve">garantías anuales </w:t>
            </w:r>
            <w:r w:rsidR="00DB5CEB" w:rsidRPr="002C5F5C">
              <w:rPr>
                <w:szCs w:val="24"/>
              </w:rPr>
              <w:t>por un monto equivalente a la Energía</w:t>
            </w:r>
            <w:r w:rsidR="00DB5CEB">
              <w:rPr>
                <w:szCs w:val="24"/>
              </w:rPr>
              <w:t xml:space="preserve"> Garantizada por un año (12 meses) </w:t>
            </w:r>
            <w:r w:rsidR="002C5F5C" w:rsidRPr="002C5F5C">
              <w:rPr>
                <w:szCs w:val="24"/>
              </w:rPr>
              <w:t xml:space="preserve">con una </w:t>
            </w:r>
            <w:r w:rsidR="00AE77E7">
              <w:rPr>
                <w:szCs w:val="24"/>
              </w:rPr>
              <w:t xml:space="preserve">cobertura </w:t>
            </w:r>
            <w:r w:rsidR="002C5F5C" w:rsidRPr="002C5F5C">
              <w:rPr>
                <w:szCs w:val="24"/>
              </w:rPr>
              <w:t xml:space="preserve">correspondiente al periodo </w:t>
            </w:r>
            <w:r w:rsidR="00AE77E7">
              <w:rPr>
                <w:szCs w:val="24"/>
              </w:rPr>
              <w:t xml:space="preserve">comprendido </w:t>
            </w:r>
            <w:r w:rsidR="002C5F5C" w:rsidRPr="002C5F5C">
              <w:rPr>
                <w:szCs w:val="24"/>
              </w:rPr>
              <w:t>entre el 1 de octubre de cada año hasta el 30 de setiembre del siguiente año</w:t>
            </w:r>
            <w:r w:rsidR="00680B8A">
              <w:rPr>
                <w:szCs w:val="24"/>
              </w:rPr>
              <w:t>.</w:t>
            </w:r>
          </w:p>
          <w:p w:rsidR="00A00410" w:rsidRDefault="00A00410" w:rsidP="00D841F9">
            <w:pPr>
              <w:suppressAutoHyphens/>
              <w:spacing w:before="120" w:after="120" w:line="240" w:lineRule="auto"/>
              <w:ind w:right="95"/>
              <w:rPr>
                <w:szCs w:val="24"/>
              </w:rPr>
            </w:pPr>
            <w:r w:rsidRPr="00A00410">
              <w:rPr>
                <w:szCs w:val="24"/>
              </w:rPr>
              <w:t>Esta</w:t>
            </w:r>
            <w:r w:rsidR="00AE77E7">
              <w:rPr>
                <w:szCs w:val="24"/>
              </w:rPr>
              <w:t>s</w:t>
            </w:r>
            <w:r w:rsidRPr="00A00410">
              <w:rPr>
                <w:szCs w:val="24"/>
              </w:rPr>
              <w:t xml:space="preserve"> garantía</w:t>
            </w:r>
            <w:r w:rsidR="00AE77E7">
              <w:rPr>
                <w:szCs w:val="24"/>
              </w:rPr>
              <w:t>s</w:t>
            </w:r>
            <w:r w:rsidRPr="00A00410">
              <w:rPr>
                <w:szCs w:val="24"/>
              </w:rPr>
              <w:t xml:space="preserve"> será</w:t>
            </w:r>
            <w:r w:rsidR="00AE77E7">
              <w:rPr>
                <w:szCs w:val="24"/>
              </w:rPr>
              <w:t>n</w:t>
            </w:r>
            <w:r w:rsidRPr="00A00410">
              <w:rPr>
                <w:szCs w:val="24"/>
              </w:rPr>
              <w:t xml:space="preserve"> liberada</w:t>
            </w:r>
            <w:r w:rsidR="00AE77E7">
              <w:rPr>
                <w:szCs w:val="24"/>
              </w:rPr>
              <w:t>s</w:t>
            </w:r>
            <w:r w:rsidRPr="00A00410">
              <w:rPr>
                <w:szCs w:val="24"/>
              </w:rPr>
              <w:t xml:space="preserve"> por ANDE y devuelta al PIEE a más tardar treinta (30) días contados a partir de la fecha de </w:t>
            </w:r>
            <w:r w:rsidR="00D841F9">
              <w:rPr>
                <w:szCs w:val="24"/>
              </w:rPr>
              <w:t xml:space="preserve">culminación de la cobertura correspondiente. </w:t>
            </w:r>
          </w:p>
          <w:p w:rsidR="00DB5CEB" w:rsidRPr="000A1B93" w:rsidRDefault="00DB5CEB" w:rsidP="008520B1">
            <w:pPr>
              <w:suppressAutoHyphens/>
              <w:spacing w:before="120" w:after="120" w:line="240" w:lineRule="auto"/>
              <w:ind w:right="95"/>
              <w:rPr>
                <w:szCs w:val="24"/>
              </w:rPr>
            </w:pPr>
            <w:r>
              <w:rPr>
                <w:szCs w:val="24"/>
              </w:rPr>
              <w:t xml:space="preserve">En caso de incumplimientos la </w:t>
            </w:r>
            <w:r w:rsidRPr="00DB5CEB">
              <w:rPr>
                <w:szCs w:val="24"/>
              </w:rPr>
              <w:t>ANDE requerirá a la/s aseguradora/so al/los Banco/s que hubiese/n otorgado la</w:t>
            </w:r>
            <w:r>
              <w:rPr>
                <w:szCs w:val="24"/>
              </w:rPr>
              <w:t>s g</w:t>
            </w:r>
            <w:r w:rsidRPr="00DB5CEB">
              <w:rPr>
                <w:szCs w:val="24"/>
              </w:rPr>
              <w:t>arantía</w:t>
            </w:r>
            <w:r>
              <w:rPr>
                <w:szCs w:val="24"/>
              </w:rPr>
              <w:t xml:space="preserve">s de cumplimiento de contrato, el valor resultante total o fracción del incumplimiento. </w:t>
            </w:r>
          </w:p>
        </w:tc>
      </w:tr>
      <w:tr w:rsidR="005C05F0" w:rsidRPr="000A1B93" w:rsidTr="00165D11">
        <w:trPr>
          <w:trHeight w:val="2906"/>
        </w:trPr>
        <w:tc>
          <w:tcPr>
            <w:tcW w:w="1560" w:type="dxa"/>
          </w:tcPr>
          <w:p w:rsidR="005C05F0" w:rsidRPr="000A1B93" w:rsidRDefault="00D13BA5" w:rsidP="00635958">
            <w:pPr>
              <w:spacing w:before="120" w:after="120" w:line="240" w:lineRule="auto"/>
              <w:rPr>
                <w:b/>
                <w:bCs/>
                <w:szCs w:val="24"/>
              </w:rPr>
            </w:pPr>
            <w:r>
              <w:rPr>
                <w:b/>
                <w:bCs/>
                <w:szCs w:val="24"/>
              </w:rPr>
              <w:lastRenderedPageBreak/>
              <w:t>CEC</w:t>
            </w:r>
            <w:r w:rsidR="005C05F0" w:rsidRPr="000A1B93">
              <w:rPr>
                <w:b/>
                <w:bCs/>
                <w:szCs w:val="24"/>
              </w:rPr>
              <w:t xml:space="preserve"> 12.1</w:t>
            </w:r>
          </w:p>
        </w:tc>
        <w:tc>
          <w:tcPr>
            <w:tcW w:w="8079" w:type="dxa"/>
          </w:tcPr>
          <w:p w:rsidR="00635958" w:rsidRPr="000A1B93" w:rsidRDefault="00635958" w:rsidP="00635958">
            <w:pPr>
              <w:spacing w:before="120" w:after="120" w:line="240" w:lineRule="auto"/>
              <w:ind w:right="95"/>
              <w:rPr>
                <w:b/>
                <w:szCs w:val="24"/>
              </w:rPr>
            </w:pPr>
            <w:r w:rsidRPr="000A1B93">
              <w:rPr>
                <w:b/>
                <w:szCs w:val="24"/>
              </w:rPr>
              <w:t xml:space="preserve">Pago de Cuentas </w:t>
            </w:r>
          </w:p>
          <w:p w:rsidR="005C05F0" w:rsidRPr="000A1B93" w:rsidRDefault="00635958" w:rsidP="004C5404">
            <w:pPr>
              <w:spacing w:before="120" w:after="120" w:line="240" w:lineRule="auto"/>
              <w:ind w:right="95"/>
              <w:rPr>
                <w:szCs w:val="24"/>
                <w:lang w:val="es-ES"/>
              </w:rPr>
            </w:pPr>
            <w:r w:rsidRPr="000A1B93">
              <w:rPr>
                <w:szCs w:val="24"/>
              </w:rPr>
              <w:t>Las facturas correspondientes al suministro de energía eléctrica serán presentadas en Mesa de Entrada de la ANDE, sito en Planta Baja, Sede Central, Avda. España Nº 1268 esquina Padre Cardozo, en el horario de atención de 07:00 hs. a 15:00 hs. de lunes a viernes. Estas facturas, expresadas en dólares de los Estados Unidos de América, serán pagadas mediante depósito en la cuenta bancaria asignada para el efecto. El comprobante del depósito bancario será considerado para todos los efectos, como prueba de cancelación y de cumplimiento de la obligación de pago por parte de la ANDE.</w:t>
            </w:r>
          </w:p>
        </w:tc>
      </w:tr>
      <w:tr w:rsidR="00635958" w:rsidRPr="000A1B93" w:rsidTr="00165D11">
        <w:trPr>
          <w:trHeight w:val="528"/>
        </w:trPr>
        <w:tc>
          <w:tcPr>
            <w:tcW w:w="1560" w:type="dxa"/>
          </w:tcPr>
          <w:p w:rsidR="00635958" w:rsidRPr="00165D11" w:rsidRDefault="00D13BA5" w:rsidP="00635958">
            <w:pPr>
              <w:spacing w:before="120" w:after="120" w:line="240" w:lineRule="auto"/>
              <w:rPr>
                <w:b/>
                <w:bCs/>
                <w:sz w:val="22"/>
                <w:szCs w:val="24"/>
              </w:rPr>
            </w:pPr>
            <w:r>
              <w:rPr>
                <w:b/>
                <w:bCs/>
                <w:szCs w:val="24"/>
              </w:rPr>
              <w:t>CEC</w:t>
            </w:r>
            <w:r w:rsidR="001D70D4" w:rsidRPr="00165D11">
              <w:rPr>
                <w:b/>
                <w:bCs/>
                <w:szCs w:val="24"/>
              </w:rPr>
              <w:t xml:space="preserve"> 12.2</w:t>
            </w:r>
          </w:p>
        </w:tc>
        <w:tc>
          <w:tcPr>
            <w:tcW w:w="8079" w:type="dxa"/>
            <w:vAlign w:val="center"/>
          </w:tcPr>
          <w:p w:rsidR="00635958" w:rsidRPr="00165D11" w:rsidRDefault="001D70D4" w:rsidP="00635958">
            <w:pPr>
              <w:spacing w:before="120" w:after="120" w:line="240" w:lineRule="auto"/>
              <w:ind w:right="96"/>
              <w:rPr>
                <w:b/>
                <w:szCs w:val="24"/>
              </w:rPr>
            </w:pPr>
            <w:r w:rsidRPr="00165D11">
              <w:rPr>
                <w:b/>
                <w:szCs w:val="24"/>
              </w:rPr>
              <w:t>Ajuste de Precios de la Tarifa</w:t>
            </w:r>
          </w:p>
          <w:p w:rsidR="009339A6" w:rsidRPr="00165D11" w:rsidRDefault="001D70D4" w:rsidP="009339A6">
            <w:pPr>
              <w:spacing w:before="120" w:after="120" w:line="240" w:lineRule="auto"/>
              <w:ind w:right="96"/>
              <w:rPr>
                <w:sz w:val="22"/>
                <w:szCs w:val="24"/>
              </w:rPr>
            </w:pPr>
            <w:r w:rsidRPr="00165D11">
              <w:rPr>
                <w:szCs w:val="24"/>
              </w:rPr>
              <w:t>A partir del año de la suscripción de este Contrato, la Tarifa de producción de energía eléctrica expresada en dólares de los Estados Unidos de América se ajustará anualmente de acuerdo a las siguientes fórmulas:</w:t>
            </w:r>
          </w:p>
          <w:p w:rsidR="009339A6" w:rsidRPr="00165D11" w:rsidRDefault="001D70D4" w:rsidP="00BD59A7">
            <w:pPr>
              <w:spacing w:before="120" w:after="120" w:line="240" w:lineRule="auto"/>
              <w:ind w:right="96"/>
              <w:jc w:val="center"/>
              <w:rPr>
                <w:sz w:val="22"/>
                <w:szCs w:val="24"/>
              </w:rPr>
            </w:pPr>
            <w:r w:rsidRPr="00165D11">
              <w:rPr>
                <w:szCs w:val="24"/>
              </w:rPr>
              <w:t>Ta= FA x T</w:t>
            </w:r>
          </w:p>
          <w:p w:rsidR="009339A6" w:rsidRPr="00165D11" w:rsidRDefault="001D70D4" w:rsidP="009339A6">
            <w:pPr>
              <w:spacing w:before="120" w:after="120" w:line="240" w:lineRule="auto"/>
              <w:ind w:right="96"/>
              <w:rPr>
                <w:sz w:val="22"/>
                <w:szCs w:val="24"/>
              </w:rPr>
            </w:pPr>
            <w:r w:rsidRPr="00165D11">
              <w:rPr>
                <w:szCs w:val="24"/>
              </w:rPr>
              <w:t>donde:</w:t>
            </w:r>
            <w:r w:rsidRPr="00165D11">
              <w:rPr>
                <w:szCs w:val="24"/>
              </w:rPr>
              <w:tab/>
            </w:r>
          </w:p>
          <w:p w:rsidR="009339A6" w:rsidRPr="00165D11" w:rsidRDefault="001D70D4" w:rsidP="000E55BA">
            <w:pPr>
              <w:spacing w:before="120" w:after="120" w:line="240" w:lineRule="auto"/>
              <w:ind w:left="33" w:right="96"/>
              <w:rPr>
                <w:sz w:val="22"/>
                <w:szCs w:val="24"/>
              </w:rPr>
            </w:pPr>
            <w:r w:rsidRPr="00165D11">
              <w:rPr>
                <w:szCs w:val="24"/>
              </w:rPr>
              <w:t>Ta = Tarifa</w:t>
            </w:r>
            <w:r w:rsidR="00B659B5">
              <w:rPr>
                <w:szCs w:val="24"/>
              </w:rPr>
              <w:t xml:space="preserve"> </w:t>
            </w:r>
            <w:r w:rsidRPr="00165D11">
              <w:rPr>
                <w:szCs w:val="24"/>
              </w:rPr>
              <w:t>de producción de energía eléctrica ajustada</w:t>
            </w:r>
          </w:p>
          <w:p w:rsidR="009339A6" w:rsidRPr="00165D11" w:rsidRDefault="001D70D4" w:rsidP="000E55BA">
            <w:pPr>
              <w:spacing w:before="120" w:after="120" w:line="240" w:lineRule="auto"/>
              <w:ind w:left="33" w:right="96"/>
              <w:rPr>
                <w:sz w:val="22"/>
                <w:szCs w:val="24"/>
              </w:rPr>
            </w:pPr>
            <w:r w:rsidRPr="00165D11">
              <w:rPr>
                <w:szCs w:val="24"/>
              </w:rPr>
              <w:t>T =Tarifa de producción de energía eléctrica de la Oferta</w:t>
            </w:r>
          </w:p>
          <w:p w:rsidR="00680B8A" w:rsidRPr="00165D11" w:rsidRDefault="00680B8A" w:rsidP="009339A6">
            <w:pPr>
              <w:keepNext/>
              <w:keepLines/>
              <w:spacing w:before="120" w:after="120" w:line="240" w:lineRule="auto"/>
              <w:ind w:right="96"/>
              <w:outlineLvl w:val="2"/>
              <w:rPr>
                <w:sz w:val="22"/>
                <w:szCs w:val="24"/>
              </w:rPr>
            </w:pPr>
          </w:p>
          <w:p w:rsidR="009339A6" w:rsidRPr="00165D11" w:rsidRDefault="001D70D4" w:rsidP="009339A6">
            <w:pPr>
              <w:spacing w:before="120" w:after="120" w:line="240" w:lineRule="auto"/>
              <w:ind w:right="96"/>
              <w:rPr>
                <w:sz w:val="22"/>
                <w:szCs w:val="24"/>
              </w:rPr>
            </w:pPr>
            <w:r w:rsidRPr="00165D11">
              <w:rPr>
                <w:szCs w:val="24"/>
              </w:rPr>
              <w:t>El Factor de Ajuste a ser utilizado será el siguiente:</w:t>
            </w:r>
          </w:p>
          <w:p w:rsidR="00635958" w:rsidRPr="00165D11" w:rsidRDefault="001D70D4" w:rsidP="003B6206">
            <w:pPr>
              <w:spacing w:before="120" w:after="120" w:line="240" w:lineRule="auto"/>
              <w:ind w:right="96"/>
              <w:jc w:val="center"/>
              <w:rPr>
                <w:sz w:val="22"/>
                <w:szCs w:val="24"/>
              </w:rPr>
            </w:pPr>
            <w:r w:rsidRPr="00165D11">
              <w:rPr>
                <w:szCs w:val="24"/>
              </w:rPr>
              <w:t>FA= 1 + 0,4xVcp + 0,4xVig</w:t>
            </w:r>
          </w:p>
          <w:p w:rsidR="00BD59A7" w:rsidRPr="00165D11" w:rsidRDefault="001D70D4" w:rsidP="00635958">
            <w:pPr>
              <w:spacing w:before="120" w:after="120" w:line="240" w:lineRule="auto"/>
              <w:ind w:right="96"/>
              <w:rPr>
                <w:sz w:val="22"/>
                <w:szCs w:val="24"/>
              </w:rPr>
            </w:pPr>
            <w:r w:rsidRPr="00165D11">
              <w:rPr>
                <w:szCs w:val="24"/>
              </w:rPr>
              <w:lastRenderedPageBreak/>
              <w:t>donde:</w:t>
            </w:r>
            <w:r w:rsidRPr="00165D11">
              <w:rPr>
                <w:szCs w:val="24"/>
              </w:rPr>
              <w:tab/>
            </w:r>
          </w:p>
          <w:p w:rsidR="00635958" w:rsidRPr="00165D11" w:rsidRDefault="001D70D4" w:rsidP="000E55BA">
            <w:pPr>
              <w:spacing w:before="120" w:after="120" w:line="240" w:lineRule="auto"/>
              <w:ind w:left="600" w:right="96" w:hanging="600"/>
              <w:rPr>
                <w:sz w:val="22"/>
                <w:szCs w:val="24"/>
              </w:rPr>
            </w:pPr>
            <w:proofErr w:type="spellStart"/>
            <w:r w:rsidRPr="00165D11">
              <w:rPr>
                <w:szCs w:val="24"/>
              </w:rPr>
              <w:t>Vig</w:t>
            </w:r>
            <w:proofErr w:type="spellEnd"/>
            <w:r w:rsidRPr="00165D11">
              <w:rPr>
                <w:szCs w:val="24"/>
              </w:rPr>
              <w:t xml:space="preserve">: Variación porcentual sobre el 100 del índice medio anual del "Informe Bienes Industriales", en los Estados Unidos de América, correspondiente al año a </w:t>
            </w:r>
            <w:proofErr w:type="spellStart"/>
            <w:r w:rsidRPr="00165D11">
              <w:rPr>
                <w:szCs w:val="24"/>
              </w:rPr>
              <w:t>se</w:t>
            </w:r>
            <w:proofErr w:type="spellEnd"/>
            <w:r w:rsidRPr="00165D11">
              <w:rPr>
                <w:szCs w:val="24"/>
              </w:rPr>
              <w:t xml:space="preserve"> ajustado publicado en la "Estadística Financiera Internacional", del Fondo Monetario Internacional, y relativo al mismo Índice Medio del año anterior.</w:t>
            </w:r>
          </w:p>
          <w:p w:rsidR="00635958" w:rsidRPr="00165D11" w:rsidRDefault="001D70D4" w:rsidP="000E55BA">
            <w:pPr>
              <w:spacing w:before="120" w:after="120" w:line="240" w:lineRule="auto"/>
              <w:ind w:left="600" w:right="96" w:hanging="567"/>
              <w:rPr>
                <w:b/>
                <w:sz w:val="22"/>
                <w:szCs w:val="24"/>
              </w:rPr>
            </w:pPr>
            <w:proofErr w:type="spellStart"/>
            <w:r w:rsidRPr="00165D11">
              <w:rPr>
                <w:szCs w:val="24"/>
              </w:rPr>
              <w:t>Vcp</w:t>
            </w:r>
            <w:proofErr w:type="spellEnd"/>
            <w:r w:rsidRPr="00165D11">
              <w:rPr>
                <w:szCs w:val="24"/>
              </w:rPr>
              <w:t>: Variación porcentual sobre cien del Índice Medio Anual del "Informe Precios del Consumidor" de los Estados Unidos de América, correspondiente al año a ser ajustado, publicado en el mencionado documento del Fondo Monetario Internacional, relativo al mismo Índice Medio del año anterior.</w:t>
            </w:r>
          </w:p>
        </w:tc>
      </w:tr>
      <w:tr w:rsidR="00D41704" w:rsidRPr="000A1B93" w:rsidTr="00165D11">
        <w:trPr>
          <w:trHeight w:val="528"/>
        </w:trPr>
        <w:tc>
          <w:tcPr>
            <w:tcW w:w="1560" w:type="dxa"/>
          </w:tcPr>
          <w:p w:rsidR="00D41704" w:rsidRPr="000A1B93" w:rsidRDefault="00D13BA5" w:rsidP="00635958">
            <w:pPr>
              <w:spacing w:before="120" w:after="120" w:line="240" w:lineRule="auto"/>
              <w:rPr>
                <w:b/>
                <w:bCs/>
                <w:szCs w:val="24"/>
              </w:rPr>
            </w:pPr>
            <w:r>
              <w:rPr>
                <w:b/>
                <w:bCs/>
                <w:szCs w:val="24"/>
              </w:rPr>
              <w:lastRenderedPageBreak/>
              <w:t>CEC</w:t>
            </w:r>
            <w:r w:rsidR="00D90C94">
              <w:rPr>
                <w:b/>
                <w:bCs/>
                <w:szCs w:val="24"/>
              </w:rPr>
              <w:t xml:space="preserve"> 13.1</w:t>
            </w:r>
          </w:p>
        </w:tc>
        <w:tc>
          <w:tcPr>
            <w:tcW w:w="8079" w:type="dxa"/>
            <w:vAlign w:val="center"/>
          </w:tcPr>
          <w:p w:rsidR="00D90C94" w:rsidRPr="00D90C94" w:rsidRDefault="00D90C94" w:rsidP="00635958">
            <w:pPr>
              <w:spacing w:before="120" w:after="120" w:line="240" w:lineRule="auto"/>
              <w:ind w:right="96"/>
              <w:rPr>
                <w:b/>
                <w:szCs w:val="24"/>
              </w:rPr>
            </w:pPr>
            <w:r w:rsidRPr="00D90C94">
              <w:rPr>
                <w:b/>
                <w:szCs w:val="24"/>
              </w:rPr>
              <w:t xml:space="preserve">Plazo de </w:t>
            </w:r>
            <w:r w:rsidR="00B37E22">
              <w:rPr>
                <w:b/>
                <w:szCs w:val="24"/>
              </w:rPr>
              <w:t>Terminación</w:t>
            </w:r>
          </w:p>
          <w:p w:rsidR="00D41704" w:rsidRPr="00D13BA5" w:rsidRDefault="00D90C94" w:rsidP="00D90C94">
            <w:pPr>
              <w:spacing w:before="120" w:after="120" w:line="240" w:lineRule="auto"/>
              <w:ind w:right="96"/>
              <w:rPr>
                <w:szCs w:val="24"/>
              </w:rPr>
            </w:pPr>
            <w:r w:rsidRPr="00D13BA5">
              <w:rPr>
                <w:szCs w:val="24"/>
              </w:rPr>
              <w:t xml:space="preserve">El Plazo de </w:t>
            </w:r>
            <w:r w:rsidR="00B37E22" w:rsidRPr="00D13BA5">
              <w:rPr>
                <w:szCs w:val="24"/>
              </w:rPr>
              <w:t xml:space="preserve">terminación de </w:t>
            </w:r>
            <w:r w:rsidRPr="00D13BA5">
              <w:rPr>
                <w:szCs w:val="24"/>
              </w:rPr>
              <w:t xml:space="preserve">las obras será de </w:t>
            </w:r>
            <w:r w:rsidRPr="00B06433">
              <w:rPr>
                <w:szCs w:val="24"/>
              </w:rPr>
              <w:t xml:space="preserve">hasta </w:t>
            </w:r>
            <w:r w:rsidR="00E5480A" w:rsidRPr="00165D11">
              <w:rPr>
                <w:szCs w:val="24"/>
                <w:u w:val="single"/>
              </w:rPr>
              <w:t>9 (nueve) meses</w:t>
            </w:r>
            <w:r w:rsidRPr="00D13BA5">
              <w:rPr>
                <w:szCs w:val="24"/>
              </w:rPr>
              <w:t xml:space="preserve"> y será contado a partir de la firma del contrato. </w:t>
            </w:r>
          </w:p>
          <w:p w:rsidR="00DE2705" w:rsidRPr="00DE2705" w:rsidRDefault="00DE2705" w:rsidP="00DE2705">
            <w:pPr>
              <w:spacing w:before="120" w:after="120" w:line="240" w:lineRule="auto"/>
              <w:ind w:right="96"/>
              <w:rPr>
                <w:szCs w:val="24"/>
              </w:rPr>
            </w:pPr>
            <w:r w:rsidRPr="00D13BA5">
              <w:rPr>
                <w:szCs w:val="24"/>
              </w:rPr>
              <w:t>El PIEE deberá informar de manera periódica sobre los avances de las obras</w:t>
            </w:r>
            <w:r w:rsidR="00B37E22" w:rsidRPr="00D13BA5">
              <w:rPr>
                <w:szCs w:val="24"/>
              </w:rPr>
              <w:t>.</w:t>
            </w:r>
          </w:p>
        </w:tc>
      </w:tr>
      <w:tr w:rsidR="00D90C94" w:rsidRPr="000A1B93" w:rsidTr="00165D11">
        <w:trPr>
          <w:trHeight w:val="528"/>
        </w:trPr>
        <w:tc>
          <w:tcPr>
            <w:tcW w:w="1560" w:type="dxa"/>
          </w:tcPr>
          <w:p w:rsidR="00D90C94" w:rsidRPr="000A1B93" w:rsidRDefault="00D13BA5" w:rsidP="00680B8A">
            <w:pPr>
              <w:spacing w:before="120" w:after="120" w:line="240" w:lineRule="auto"/>
              <w:rPr>
                <w:b/>
                <w:bCs/>
                <w:szCs w:val="24"/>
              </w:rPr>
            </w:pPr>
            <w:r>
              <w:rPr>
                <w:b/>
                <w:bCs/>
                <w:szCs w:val="24"/>
              </w:rPr>
              <w:t>CEC</w:t>
            </w:r>
            <w:r w:rsidR="0024755C">
              <w:rPr>
                <w:b/>
                <w:bCs/>
                <w:szCs w:val="24"/>
              </w:rPr>
              <w:t xml:space="preserve"> 18.1</w:t>
            </w:r>
          </w:p>
        </w:tc>
        <w:tc>
          <w:tcPr>
            <w:tcW w:w="8079" w:type="dxa"/>
            <w:vAlign w:val="center"/>
          </w:tcPr>
          <w:p w:rsidR="0024755C" w:rsidRPr="009B0A24" w:rsidRDefault="0024755C" w:rsidP="00680B8A">
            <w:pPr>
              <w:spacing w:before="120" w:after="120" w:line="240" w:lineRule="auto"/>
              <w:ind w:right="96"/>
              <w:rPr>
                <w:b/>
                <w:szCs w:val="24"/>
              </w:rPr>
            </w:pPr>
            <w:r w:rsidRPr="009B0A24">
              <w:rPr>
                <w:b/>
                <w:szCs w:val="24"/>
              </w:rPr>
              <w:t>Programa de Ejecución</w:t>
            </w:r>
          </w:p>
          <w:p w:rsidR="00D90C94" w:rsidRPr="00AD4308" w:rsidRDefault="0024755C" w:rsidP="004C5404">
            <w:pPr>
              <w:spacing w:before="120" w:after="120" w:line="240" w:lineRule="auto"/>
              <w:ind w:right="96"/>
              <w:rPr>
                <w:szCs w:val="24"/>
              </w:rPr>
            </w:pPr>
            <w:r w:rsidRPr="00AD4308">
              <w:rPr>
                <w:szCs w:val="24"/>
              </w:rPr>
              <w:t xml:space="preserve">El Programa de ejecución incluirá un cronograma de obras </w:t>
            </w:r>
            <w:r w:rsidR="00F406B8" w:rsidRPr="00AD4308">
              <w:rPr>
                <w:szCs w:val="24"/>
              </w:rPr>
              <w:t>con las fechas previstas para cada etapa de ejecución</w:t>
            </w:r>
            <w:r w:rsidR="004129ED">
              <w:rPr>
                <w:szCs w:val="24"/>
              </w:rPr>
              <w:t xml:space="preserve"> incluida la operación experimental</w:t>
            </w:r>
            <w:r w:rsidR="00F406B8" w:rsidRPr="00AD4308">
              <w:rPr>
                <w:szCs w:val="24"/>
              </w:rPr>
              <w:t>.</w:t>
            </w:r>
            <w:r w:rsidR="004C5404">
              <w:rPr>
                <w:szCs w:val="24"/>
              </w:rPr>
              <w:t xml:space="preserve"> Incluirá también un </w:t>
            </w:r>
            <w:r w:rsidRPr="00AD4308">
              <w:rPr>
                <w:szCs w:val="24"/>
              </w:rPr>
              <w:t xml:space="preserve">Proyecto Ejecutivo </w:t>
            </w:r>
            <w:r w:rsidR="004C5404">
              <w:rPr>
                <w:szCs w:val="24"/>
              </w:rPr>
              <w:t xml:space="preserve">que </w:t>
            </w:r>
            <w:r w:rsidRPr="00AD4308">
              <w:rPr>
                <w:szCs w:val="24"/>
              </w:rPr>
              <w:t xml:space="preserve">deberá ser aprobado previamente por la ANDE </w:t>
            </w:r>
            <w:r w:rsidR="004C5404" w:rsidRPr="00AD4308">
              <w:rPr>
                <w:szCs w:val="24"/>
              </w:rPr>
              <w:t>en un plazo no mayor a  30 (treinta) días</w:t>
            </w:r>
            <w:r w:rsidR="004C5404">
              <w:rPr>
                <w:szCs w:val="24"/>
              </w:rPr>
              <w:t xml:space="preserve">. </w:t>
            </w:r>
          </w:p>
        </w:tc>
      </w:tr>
      <w:tr w:rsidR="0024755C" w:rsidRPr="000A1B93" w:rsidTr="00165D11">
        <w:trPr>
          <w:trHeight w:val="528"/>
        </w:trPr>
        <w:tc>
          <w:tcPr>
            <w:tcW w:w="1560" w:type="dxa"/>
          </w:tcPr>
          <w:p w:rsidR="0024755C" w:rsidRPr="000A1B93" w:rsidRDefault="00D13BA5" w:rsidP="00680B8A">
            <w:pPr>
              <w:spacing w:before="120" w:after="120" w:line="240" w:lineRule="auto"/>
              <w:rPr>
                <w:b/>
                <w:bCs/>
                <w:szCs w:val="24"/>
              </w:rPr>
            </w:pPr>
            <w:r>
              <w:rPr>
                <w:b/>
                <w:bCs/>
                <w:szCs w:val="24"/>
              </w:rPr>
              <w:t>CEC</w:t>
            </w:r>
            <w:r w:rsidR="0024755C" w:rsidRPr="000A1B93">
              <w:rPr>
                <w:b/>
                <w:bCs/>
                <w:szCs w:val="24"/>
              </w:rPr>
              <w:t xml:space="preserve"> 31.3 </w:t>
            </w:r>
          </w:p>
        </w:tc>
        <w:tc>
          <w:tcPr>
            <w:tcW w:w="8079" w:type="dxa"/>
            <w:vAlign w:val="center"/>
          </w:tcPr>
          <w:p w:rsidR="0024755C" w:rsidRPr="000A1B93" w:rsidRDefault="0024755C" w:rsidP="00680B8A">
            <w:pPr>
              <w:spacing w:before="120" w:after="120" w:line="240" w:lineRule="auto"/>
              <w:ind w:right="96"/>
              <w:rPr>
                <w:b/>
                <w:szCs w:val="24"/>
              </w:rPr>
            </w:pPr>
            <w:r w:rsidRPr="000A1B93">
              <w:rPr>
                <w:b/>
                <w:szCs w:val="24"/>
              </w:rPr>
              <w:t>Protocolos Operativos</w:t>
            </w:r>
          </w:p>
          <w:p w:rsidR="0024755C" w:rsidRPr="000A1B93" w:rsidRDefault="0024755C" w:rsidP="00F6361C">
            <w:pPr>
              <w:spacing w:before="120" w:after="120" w:line="240" w:lineRule="auto"/>
              <w:ind w:right="96"/>
              <w:rPr>
                <w:szCs w:val="24"/>
              </w:rPr>
            </w:pPr>
            <w:r w:rsidRPr="000A1B93">
              <w:rPr>
                <w:szCs w:val="24"/>
              </w:rPr>
              <w:t>Antes del inicio del</w:t>
            </w:r>
            <w:r w:rsidR="0018161B">
              <w:rPr>
                <w:szCs w:val="24"/>
              </w:rPr>
              <w:t xml:space="preserve"> </w:t>
            </w:r>
            <w:r w:rsidR="004A05CD" w:rsidRPr="00D13BA5">
              <w:rPr>
                <w:szCs w:val="24"/>
              </w:rPr>
              <w:t xml:space="preserve">periodo de </w:t>
            </w:r>
            <w:r w:rsidRPr="00D13BA5">
              <w:rPr>
                <w:szCs w:val="24"/>
              </w:rPr>
              <w:t>operación comercial la ANDE y el PIEE deberán acordar a través de un Protocolo Operativo, los procedimientos de comunicación</w:t>
            </w:r>
            <w:r w:rsidRPr="000A1B93">
              <w:rPr>
                <w:szCs w:val="24"/>
              </w:rPr>
              <w:t xml:space="preserve"> y coordinación entre las Partes para las operaciones técnicas de conexión, desconexión y otras inherentes al suministro de energía eléctrica.</w:t>
            </w:r>
          </w:p>
        </w:tc>
      </w:tr>
      <w:tr w:rsidR="0024755C" w:rsidRPr="000A1B93" w:rsidTr="00165D11">
        <w:trPr>
          <w:trHeight w:val="528"/>
        </w:trPr>
        <w:tc>
          <w:tcPr>
            <w:tcW w:w="1560" w:type="dxa"/>
          </w:tcPr>
          <w:p w:rsidR="0024755C" w:rsidRPr="000A1B93" w:rsidRDefault="00D13BA5" w:rsidP="00635958">
            <w:pPr>
              <w:spacing w:before="120" w:after="120" w:line="240" w:lineRule="auto"/>
              <w:rPr>
                <w:b/>
                <w:bCs/>
                <w:szCs w:val="24"/>
              </w:rPr>
            </w:pPr>
            <w:r>
              <w:rPr>
                <w:b/>
                <w:bCs/>
                <w:szCs w:val="24"/>
              </w:rPr>
              <w:t>CEC</w:t>
            </w:r>
            <w:r w:rsidR="0024755C" w:rsidRPr="000A1B93">
              <w:rPr>
                <w:b/>
                <w:bCs/>
                <w:szCs w:val="24"/>
              </w:rPr>
              <w:t xml:space="preserve"> 32.1</w:t>
            </w:r>
          </w:p>
        </w:tc>
        <w:tc>
          <w:tcPr>
            <w:tcW w:w="8079" w:type="dxa"/>
            <w:vAlign w:val="center"/>
          </w:tcPr>
          <w:p w:rsidR="0024755C" w:rsidRPr="000A1B93" w:rsidRDefault="0024755C" w:rsidP="00635958">
            <w:pPr>
              <w:spacing w:before="120" w:after="120" w:line="240" w:lineRule="auto"/>
              <w:ind w:right="96"/>
              <w:rPr>
                <w:b/>
                <w:szCs w:val="24"/>
              </w:rPr>
            </w:pPr>
            <w:r w:rsidRPr="000A1B93">
              <w:rPr>
                <w:b/>
                <w:szCs w:val="24"/>
              </w:rPr>
              <w:t>Condiciones de Suministro</w:t>
            </w:r>
          </w:p>
          <w:p w:rsidR="00E4238A" w:rsidRPr="00D13BA5" w:rsidRDefault="00E4238A" w:rsidP="00E4238A">
            <w:pPr>
              <w:spacing w:before="120" w:after="120" w:line="240" w:lineRule="auto"/>
              <w:ind w:right="95"/>
              <w:rPr>
                <w:szCs w:val="24"/>
                <w:u w:val="single"/>
              </w:rPr>
            </w:pPr>
            <w:r w:rsidRPr="00D13BA5">
              <w:rPr>
                <w:szCs w:val="24"/>
              </w:rPr>
              <w:t xml:space="preserve">El suministro de energía eléctrica por parte de PIEE a la ANDE será en el Punto de Entrega constituido en la Barra de </w:t>
            </w:r>
            <w:r w:rsidR="00ED3C61" w:rsidRPr="00D13BA5">
              <w:rPr>
                <w:szCs w:val="24"/>
              </w:rPr>
              <w:t xml:space="preserve">Media </w:t>
            </w:r>
            <w:r w:rsidR="009E5C07" w:rsidRPr="00D13BA5">
              <w:rPr>
                <w:szCs w:val="24"/>
              </w:rPr>
              <w:t>Tensión</w:t>
            </w:r>
            <w:r w:rsidR="00ED3C61" w:rsidRPr="00D13BA5">
              <w:rPr>
                <w:szCs w:val="24"/>
              </w:rPr>
              <w:t xml:space="preserve"> de la Ciudad de Bahía Negra</w:t>
            </w:r>
            <w:r w:rsidRPr="00D13BA5">
              <w:rPr>
                <w:szCs w:val="24"/>
              </w:rPr>
              <w:t>.</w:t>
            </w:r>
            <w:r w:rsidR="0018161B">
              <w:rPr>
                <w:szCs w:val="24"/>
              </w:rPr>
              <w:t xml:space="preserve"> </w:t>
            </w:r>
            <w:r w:rsidRPr="00D13BA5">
              <w:rPr>
                <w:szCs w:val="24"/>
                <w:u w:val="single"/>
              </w:rPr>
              <w:t xml:space="preserve">El suministro deberá iniciarse dentro del plazo de </w:t>
            </w:r>
            <w:r w:rsidR="000D7218" w:rsidRPr="00165D11">
              <w:rPr>
                <w:szCs w:val="24"/>
                <w:u w:val="single"/>
              </w:rPr>
              <w:t>9</w:t>
            </w:r>
            <w:r w:rsidR="00FC1D60" w:rsidRPr="00165D11">
              <w:rPr>
                <w:szCs w:val="24"/>
                <w:u w:val="single"/>
              </w:rPr>
              <w:t xml:space="preserve"> </w:t>
            </w:r>
            <w:r w:rsidR="001D70D4" w:rsidRPr="00165D11">
              <w:rPr>
                <w:szCs w:val="24"/>
                <w:u w:val="single"/>
              </w:rPr>
              <w:t>(</w:t>
            </w:r>
            <w:r w:rsidR="000D7218" w:rsidRPr="00165D11">
              <w:rPr>
                <w:szCs w:val="24"/>
                <w:u w:val="single"/>
              </w:rPr>
              <w:t>nueve</w:t>
            </w:r>
            <w:r w:rsidRPr="00B06433">
              <w:rPr>
                <w:szCs w:val="24"/>
                <w:u w:val="single"/>
              </w:rPr>
              <w:t>) meses contado a partir de la suscripción del Contrato.</w:t>
            </w:r>
          </w:p>
          <w:p w:rsidR="00E4238A" w:rsidRPr="00165D11" w:rsidRDefault="00E4238A" w:rsidP="00E4238A">
            <w:pPr>
              <w:spacing w:before="120" w:after="120" w:line="240" w:lineRule="auto"/>
              <w:ind w:right="95"/>
              <w:rPr>
                <w:sz w:val="22"/>
                <w:szCs w:val="24"/>
              </w:rPr>
            </w:pPr>
            <w:r w:rsidRPr="00D13BA5">
              <w:rPr>
                <w:szCs w:val="24"/>
              </w:rPr>
              <w:t>El PIEE suministrará energía eléctrica a la ANDE en el Punto de Entrega que corresponde a la posición de llegada de la línea</w:t>
            </w:r>
            <w:r w:rsidR="00ED3C61" w:rsidRPr="00D13BA5">
              <w:rPr>
                <w:szCs w:val="24"/>
              </w:rPr>
              <w:t xml:space="preserve"> de </w:t>
            </w:r>
            <w:r w:rsidR="009C6E7A" w:rsidRPr="00D13BA5">
              <w:rPr>
                <w:szCs w:val="24"/>
              </w:rPr>
              <w:t>distribución/</w:t>
            </w:r>
            <w:r w:rsidR="00ED3C61" w:rsidRPr="00D13BA5">
              <w:rPr>
                <w:szCs w:val="24"/>
              </w:rPr>
              <w:t xml:space="preserve">transmisión que vincula la </w:t>
            </w:r>
            <w:r w:rsidRPr="00D13BA5">
              <w:rPr>
                <w:szCs w:val="24"/>
              </w:rPr>
              <w:t>C</w:t>
            </w:r>
            <w:r w:rsidR="00ED3C61" w:rsidRPr="00D13BA5">
              <w:rPr>
                <w:szCs w:val="24"/>
              </w:rPr>
              <w:t xml:space="preserve">entral </w:t>
            </w:r>
            <w:r w:rsidR="003568C4">
              <w:rPr>
                <w:szCs w:val="24"/>
              </w:rPr>
              <w:t xml:space="preserve">Eléctrica </w:t>
            </w:r>
            <w:r w:rsidR="00ED3C61" w:rsidRPr="00D13BA5">
              <w:rPr>
                <w:szCs w:val="24"/>
              </w:rPr>
              <w:t>Generadora</w:t>
            </w:r>
            <w:r w:rsidRPr="00D13BA5">
              <w:rPr>
                <w:szCs w:val="24"/>
              </w:rPr>
              <w:t xml:space="preserve"> con el Sistema de </w:t>
            </w:r>
            <w:r w:rsidRPr="00B06433">
              <w:rPr>
                <w:szCs w:val="24"/>
              </w:rPr>
              <w:t>ANDE</w:t>
            </w:r>
            <w:r w:rsidR="001D70D4" w:rsidRPr="00B06433">
              <w:rPr>
                <w:szCs w:val="24"/>
              </w:rPr>
              <w:t>, en condiciones de red aislada o interconectado con el Sistema Interconectado Nacional (SIN).</w:t>
            </w:r>
            <w:r w:rsidRPr="00B06433">
              <w:rPr>
                <w:szCs w:val="24"/>
              </w:rPr>
              <w:t xml:space="preserve"> El PIEE será responsable de la generación, transformación y transporte de la energía</w:t>
            </w:r>
            <w:r w:rsidRPr="00D13BA5">
              <w:rPr>
                <w:szCs w:val="24"/>
              </w:rPr>
              <w:t xml:space="preserve"> hasta el Punto de Entrega así como de mantener las Instalaciones de Suministro existentes en su propiedad en perfectas condiciones técnicas y de seguridad.</w:t>
            </w:r>
          </w:p>
          <w:p w:rsidR="00E4238A" w:rsidRPr="00165D11" w:rsidRDefault="00E4238A" w:rsidP="00E4238A">
            <w:pPr>
              <w:spacing w:before="120" w:after="120" w:line="240" w:lineRule="auto"/>
              <w:ind w:right="95"/>
              <w:rPr>
                <w:sz w:val="22"/>
                <w:szCs w:val="24"/>
              </w:rPr>
            </w:pPr>
            <w:r w:rsidRPr="00D13BA5">
              <w:rPr>
                <w:szCs w:val="24"/>
              </w:rPr>
              <w:t>Antes del 30 de setiembre de cada año el PIEE deberá proporcionar anualmente un cronograma mensual de energía eléctrica a ser suministrada en el año siguiente.</w:t>
            </w:r>
          </w:p>
          <w:p w:rsidR="00CB312C" w:rsidRPr="00165D11" w:rsidRDefault="001D70D4" w:rsidP="00E4238A">
            <w:pPr>
              <w:spacing w:before="120" w:after="120" w:line="240" w:lineRule="auto"/>
              <w:ind w:right="96"/>
              <w:rPr>
                <w:szCs w:val="24"/>
              </w:rPr>
            </w:pPr>
            <w:r w:rsidRPr="00165D11">
              <w:rPr>
                <w:szCs w:val="24"/>
              </w:rPr>
              <w:t xml:space="preserve">El suministro será efectuado en el </w:t>
            </w:r>
            <w:r w:rsidR="00440AAA" w:rsidRPr="00165D11">
              <w:rPr>
                <w:szCs w:val="24"/>
              </w:rPr>
              <w:t>P</w:t>
            </w:r>
            <w:r w:rsidRPr="00165D11">
              <w:rPr>
                <w:szCs w:val="24"/>
              </w:rPr>
              <w:t xml:space="preserve">unto de </w:t>
            </w:r>
            <w:r w:rsidR="00440AAA" w:rsidRPr="00165D11">
              <w:rPr>
                <w:szCs w:val="24"/>
              </w:rPr>
              <w:t>E</w:t>
            </w:r>
            <w:r w:rsidRPr="00165D11">
              <w:rPr>
                <w:szCs w:val="24"/>
              </w:rPr>
              <w:t>ntrega estipulado, en la forma de corriente alternada trifásica, en la frecuencia nominal de 50 Hz (Cincuenta Hertz), con tensión nominal de 23.000 V (veintitrés mil voltios) y potencia nominal de 500 kW (quinientos kilovatios).</w:t>
            </w:r>
          </w:p>
          <w:p w:rsidR="00E4238A" w:rsidRPr="00165D11" w:rsidRDefault="00E4238A" w:rsidP="00E4238A">
            <w:pPr>
              <w:spacing w:before="120" w:after="120" w:line="240" w:lineRule="auto"/>
              <w:ind w:right="96"/>
              <w:rPr>
                <w:szCs w:val="24"/>
              </w:rPr>
            </w:pPr>
            <w:r w:rsidRPr="00165D11">
              <w:rPr>
                <w:szCs w:val="24"/>
              </w:rPr>
              <w:t>La frecuencia podrá variar en tomo de la frecuencia nominal dentro de la faja de ± 1% (más o menos uno por ciento) en condiciones normales y ± 5% (más o menos cinco por ciento) en condiciones de emergencia.</w:t>
            </w:r>
          </w:p>
          <w:p w:rsidR="00E4238A" w:rsidRDefault="00E4238A" w:rsidP="00E4238A">
            <w:pPr>
              <w:spacing w:before="120" w:after="120" w:line="240" w:lineRule="auto"/>
              <w:ind w:right="96"/>
              <w:rPr>
                <w:szCs w:val="24"/>
              </w:rPr>
            </w:pPr>
            <w:r w:rsidRPr="00165D11">
              <w:rPr>
                <w:szCs w:val="24"/>
              </w:rPr>
              <w:t>La tensión podrá variar en torno de la tensión nominal, dentro de la faja de ± 5% (más o menos cinco por ciento) en condiciones normales y de ± 10% (más o menos diez por ciento) en condiciones de emergencia.</w:t>
            </w:r>
          </w:p>
          <w:p w:rsidR="00165D11" w:rsidRDefault="00165D11" w:rsidP="00E4238A">
            <w:pPr>
              <w:spacing w:before="120" w:after="120" w:line="240" w:lineRule="auto"/>
              <w:ind w:right="96"/>
              <w:rPr>
                <w:szCs w:val="24"/>
              </w:rPr>
            </w:pPr>
            <w:r>
              <w:rPr>
                <w:szCs w:val="24"/>
              </w:rPr>
              <w:t>Las variaciones</w:t>
            </w:r>
            <w:r w:rsidRPr="00165D11">
              <w:rPr>
                <w:szCs w:val="24"/>
              </w:rPr>
              <w:t xml:space="preserve"> de tensión </w:t>
            </w:r>
            <w:r>
              <w:rPr>
                <w:szCs w:val="24"/>
              </w:rPr>
              <w:t xml:space="preserve">en el punto de entrega </w:t>
            </w:r>
            <w:r w:rsidRPr="00165D11">
              <w:rPr>
                <w:szCs w:val="24"/>
              </w:rPr>
              <w:t xml:space="preserve">debidas a arranque de </w:t>
            </w:r>
            <w:r>
              <w:rPr>
                <w:szCs w:val="24"/>
              </w:rPr>
              <w:t>generadores/motores de la planta de generación</w:t>
            </w:r>
            <w:r w:rsidRPr="00165D11">
              <w:rPr>
                <w:szCs w:val="24"/>
              </w:rPr>
              <w:t xml:space="preserve"> están limitadas a 5% (cinco por ciento) de la tensión en el punto de entrega, a menos de que los arranques</w:t>
            </w:r>
            <w:r>
              <w:rPr>
                <w:szCs w:val="24"/>
              </w:rPr>
              <w:t>/paradas</w:t>
            </w:r>
            <w:r w:rsidRPr="00165D11">
              <w:rPr>
                <w:szCs w:val="24"/>
              </w:rPr>
              <w:t xml:space="preserve"> ocurran con una frecuencia superior a 4 (cuatro) variaciones por hora</w:t>
            </w:r>
            <w:r>
              <w:rPr>
                <w:szCs w:val="24"/>
              </w:rPr>
              <w:t>.</w:t>
            </w:r>
          </w:p>
          <w:p w:rsidR="00165D11" w:rsidRDefault="00165D11" w:rsidP="00E4238A">
            <w:pPr>
              <w:spacing w:before="120" w:after="120" w:line="240" w:lineRule="auto"/>
              <w:ind w:right="96"/>
              <w:rPr>
                <w:szCs w:val="24"/>
              </w:rPr>
            </w:pPr>
            <w:r w:rsidRPr="00165D11">
              <w:rPr>
                <w:szCs w:val="24"/>
              </w:rPr>
              <w:t>Con relación a fluctuaciones de tensión</w:t>
            </w:r>
            <w:r>
              <w:rPr>
                <w:szCs w:val="24"/>
              </w:rPr>
              <w:t xml:space="preserve"> en el punto de entrega la planta generadora debe cumplir</w:t>
            </w:r>
            <w:r w:rsidRPr="00165D11">
              <w:rPr>
                <w:szCs w:val="24"/>
              </w:rPr>
              <w:t xml:space="preserve"> </w:t>
            </w:r>
            <w:r>
              <w:rPr>
                <w:szCs w:val="24"/>
              </w:rPr>
              <w:t>con</w:t>
            </w:r>
            <w:r w:rsidRPr="00165D11">
              <w:rPr>
                <w:szCs w:val="24"/>
              </w:rPr>
              <w:t xml:space="preserve"> los criterios y recomendaciones de la </w:t>
            </w:r>
            <w:r w:rsidRPr="0008033B">
              <w:rPr>
                <w:i/>
                <w:szCs w:val="24"/>
              </w:rPr>
              <w:t xml:space="preserve">Norma IEEE 1453–2004 “IEEE </w:t>
            </w:r>
            <w:proofErr w:type="spellStart"/>
            <w:r w:rsidRPr="0008033B">
              <w:rPr>
                <w:i/>
                <w:szCs w:val="24"/>
              </w:rPr>
              <w:t>Recommended</w:t>
            </w:r>
            <w:proofErr w:type="spellEnd"/>
            <w:r w:rsidRPr="0008033B">
              <w:rPr>
                <w:i/>
                <w:szCs w:val="24"/>
              </w:rPr>
              <w:t xml:space="preserve"> </w:t>
            </w:r>
            <w:proofErr w:type="spellStart"/>
            <w:r w:rsidRPr="0008033B">
              <w:rPr>
                <w:i/>
                <w:szCs w:val="24"/>
              </w:rPr>
              <w:t>Practice</w:t>
            </w:r>
            <w:proofErr w:type="spellEnd"/>
            <w:r w:rsidRPr="0008033B">
              <w:rPr>
                <w:i/>
                <w:szCs w:val="24"/>
              </w:rPr>
              <w:t xml:space="preserve"> </w:t>
            </w:r>
            <w:proofErr w:type="spellStart"/>
            <w:r w:rsidRPr="0008033B">
              <w:rPr>
                <w:i/>
                <w:szCs w:val="24"/>
              </w:rPr>
              <w:t>for</w:t>
            </w:r>
            <w:proofErr w:type="spellEnd"/>
            <w:r w:rsidRPr="0008033B">
              <w:rPr>
                <w:i/>
                <w:szCs w:val="24"/>
              </w:rPr>
              <w:t xml:space="preserve"> </w:t>
            </w:r>
            <w:proofErr w:type="spellStart"/>
            <w:r w:rsidRPr="0008033B">
              <w:rPr>
                <w:i/>
                <w:szCs w:val="24"/>
              </w:rPr>
              <w:t>Measurement</w:t>
            </w:r>
            <w:proofErr w:type="spellEnd"/>
            <w:r w:rsidRPr="0008033B">
              <w:rPr>
                <w:i/>
                <w:szCs w:val="24"/>
              </w:rPr>
              <w:t xml:space="preserve"> and </w:t>
            </w:r>
            <w:proofErr w:type="spellStart"/>
            <w:r w:rsidRPr="0008033B">
              <w:rPr>
                <w:i/>
                <w:szCs w:val="24"/>
              </w:rPr>
              <w:t>Limits</w:t>
            </w:r>
            <w:proofErr w:type="spellEnd"/>
            <w:r w:rsidRPr="0008033B">
              <w:rPr>
                <w:i/>
                <w:szCs w:val="24"/>
              </w:rPr>
              <w:t xml:space="preserve"> of </w:t>
            </w:r>
            <w:proofErr w:type="spellStart"/>
            <w:r w:rsidRPr="0008033B">
              <w:rPr>
                <w:i/>
                <w:szCs w:val="24"/>
              </w:rPr>
              <w:t>Voltage</w:t>
            </w:r>
            <w:proofErr w:type="spellEnd"/>
            <w:r w:rsidRPr="0008033B">
              <w:rPr>
                <w:i/>
                <w:szCs w:val="24"/>
              </w:rPr>
              <w:t xml:space="preserve"> </w:t>
            </w:r>
            <w:proofErr w:type="spellStart"/>
            <w:r w:rsidRPr="0008033B">
              <w:rPr>
                <w:i/>
                <w:szCs w:val="24"/>
              </w:rPr>
              <w:t>Flickeron</w:t>
            </w:r>
            <w:proofErr w:type="spellEnd"/>
            <w:r w:rsidRPr="0008033B">
              <w:rPr>
                <w:i/>
                <w:szCs w:val="24"/>
              </w:rPr>
              <w:t xml:space="preserve"> AC </w:t>
            </w:r>
            <w:proofErr w:type="spellStart"/>
            <w:r w:rsidRPr="0008033B">
              <w:rPr>
                <w:i/>
                <w:szCs w:val="24"/>
              </w:rPr>
              <w:t>Power</w:t>
            </w:r>
            <w:proofErr w:type="spellEnd"/>
            <w:r w:rsidRPr="0008033B">
              <w:rPr>
                <w:i/>
                <w:szCs w:val="24"/>
              </w:rPr>
              <w:t xml:space="preserve"> </w:t>
            </w:r>
            <w:proofErr w:type="spellStart"/>
            <w:r w:rsidRPr="0008033B">
              <w:rPr>
                <w:i/>
                <w:szCs w:val="24"/>
              </w:rPr>
              <w:t>Systems</w:t>
            </w:r>
            <w:proofErr w:type="spellEnd"/>
            <w:r w:rsidRPr="0008033B">
              <w:rPr>
                <w:i/>
                <w:szCs w:val="24"/>
              </w:rPr>
              <w:t>”</w:t>
            </w:r>
            <w:r>
              <w:rPr>
                <w:szCs w:val="24"/>
              </w:rPr>
              <w:t xml:space="preserve">, para evitar introducir </w:t>
            </w:r>
            <w:r w:rsidRPr="00165D11">
              <w:rPr>
                <w:szCs w:val="24"/>
              </w:rPr>
              <w:t>fluctuaciones de tensión</w:t>
            </w:r>
            <w:r>
              <w:rPr>
                <w:szCs w:val="24"/>
              </w:rPr>
              <w:t xml:space="preserve"> en la red de la ANDE.</w:t>
            </w:r>
          </w:p>
          <w:p w:rsidR="00165D11" w:rsidRDefault="00165D11" w:rsidP="00E4238A">
            <w:pPr>
              <w:spacing w:before="120" w:after="120" w:line="240" w:lineRule="auto"/>
              <w:ind w:right="96"/>
              <w:rPr>
                <w:szCs w:val="24"/>
              </w:rPr>
            </w:pPr>
            <w:r w:rsidRPr="00165D11">
              <w:rPr>
                <w:szCs w:val="24"/>
              </w:rPr>
              <w:t>Con relación a distorsiones armónicas</w:t>
            </w:r>
            <w:r>
              <w:rPr>
                <w:szCs w:val="24"/>
              </w:rPr>
              <w:t xml:space="preserve"> en el punto de entrega la planta generadora debe cumplir</w:t>
            </w:r>
            <w:r w:rsidRPr="00165D11">
              <w:rPr>
                <w:szCs w:val="24"/>
              </w:rPr>
              <w:t xml:space="preserve"> </w:t>
            </w:r>
            <w:r>
              <w:rPr>
                <w:szCs w:val="24"/>
              </w:rPr>
              <w:t>con</w:t>
            </w:r>
            <w:r w:rsidRPr="00165D11">
              <w:rPr>
                <w:szCs w:val="24"/>
              </w:rPr>
              <w:t xml:space="preserve"> los criterios y recomendaciones de la </w:t>
            </w:r>
            <w:r w:rsidRPr="0008033B">
              <w:rPr>
                <w:i/>
                <w:szCs w:val="24"/>
              </w:rPr>
              <w:t xml:space="preserve">Norma IEEE 519-1992 “IEEE </w:t>
            </w:r>
            <w:proofErr w:type="spellStart"/>
            <w:r w:rsidRPr="0008033B">
              <w:rPr>
                <w:i/>
                <w:szCs w:val="24"/>
              </w:rPr>
              <w:t>Recommended</w:t>
            </w:r>
            <w:proofErr w:type="spellEnd"/>
            <w:r w:rsidRPr="0008033B">
              <w:rPr>
                <w:i/>
                <w:szCs w:val="24"/>
              </w:rPr>
              <w:t xml:space="preserve"> </w:t>
            </w:r>
            <w:proofErr w:type="spellStart"/>
            <w:r w:rsidRPr="0008033B">
              <w:rPr>
                <w:i/>
                <w:szCs w:val="24"/>
              </w:rPr>
              <w:t>Practices</w:t>
            </w:r>
            <w:proofErr w:type="spellEnd"/>
            <w:r w:rsidRPr="0008033B">
              <w:rPr>
                <w:i/>
                <w:szCs w:val="24"/>
              </w:rPr>
              <w:t xml:space="preserve"> and </w:t>
            </w:r>
            <w:proofErr w:type="spellStart"/>
            <w:r w:rsidRPr="0008033B">
              <w:rPr>
                <w:i/>
                <w:szCs w:val="24"/>
              </w:rPr>
              <w:t>Requirements</w:t>
            </w:r>
            <w:proofErr w:type="spellEnd"/>
            <w:r w:rsidRPr="0008033B">
              <w:rPr>
                <w:i/>
                <w:szCs w:val="24"/>
              </w:rPr>
              <w:t xml:space="preserve"> </w:t>
            </w:r>
            <w:proofErr w:type="spellStart"/>
            <w:r w:rsidRPr="0008033B">
              <w:rPr>
                <w:i/>
                <w:szCs w:val="24"/>
              </w:rPr>
              <w:t>for</w:t>
            </w:r>
            <w:proofErr w:type="spellEnd"/>
            <w:r w:rsidRPr="0008033B">
              <w:rPr>
                <w:i/>
                <w:szCs w:val="24"/>
              </w:rPr>
              <w:t xml:space="preserve"> </w:t>
            </w:r>
            <w:proofErr w:type="spellStart"/>
            <w:r w:rsidRPr="0008033B">
              <w:rPr>
                <w:i/>
                <w:szCs w:val="24"/>
              </w:rPr>
              <w:t>Harmonic</w:t>
            </w:r>
            <w:proofErr w:type="spellEnd"/>
            <w:r w:rsidRPr="0008033B">
              <w:rPr>
                <w:i/>
                <w:szCs w:val="24"/>
              </w:rPr>
              <w:t xml:space="preserve"> Contr</w:t>
            </w:r>
            <w:r w:rsidRPr="0008033B">
              <w:rPr>
                <w:i/>
                <w:szCs w:val="24"/>
              </w:rPr>
              <w:t xml:space="preserve">ol in </w:t>
            </w:r>
            <w:proofErr w:type="spellStart"/>
            <w:r w:rsidRPr="0008033B">
              <w:rPr>
                <w:i/>
                <w:szCs w:val="24"/>
              </w:rPr>
              <w:t>Electrical</w:t>
            </w:r>
            <w:proofErr w:type="spellEnd"/>
            <w:r w:rsidRPr="0008033B">
              <w:rPr>
                <w:i/>
                <w:szCs w:val="24"/>
              </w:rPr>
              <w:t xml:space="preserve"> </w:t>
            </w:r>
            <w:proofErr w:type="spellStart"/>
            <w:r w:rsidRPr="0008033B">
              <w:rPr>
                <w:i/>
                <w:szCs w:val="24"/>
              </w:rPr>
              <w:t>Power</w:t>
            </w:r>
            <w:proofErr w:type="spellEnd"/>
            <w:r w:rsidRPr="0008033B">
              <w:rPr>
                <w:i/>
                <w:szCs w:val="24"/>
              </w:rPr>
              <w:t xml:space="preserve"> </w:t>
            </w:r>
            <w:proofErr w:type="spellStart"/>
            <w:r w:rsidRPr="0008033B">
              <w:rPr>
                <w:i/>
                <w:szCs w:val="24"/>
              </w:rPr>
              <w:t>Systems</w:t>
            </w:r>
            <w:proofErr w:type="spellEnd"/>
            <w:r w:rsidRPr="0008033B">
              <w:rPr>
                <w:i/>
                <w:szCs w:val="24"/>
              </w:rPr>
              <w:t>”</w:t>
            </w:r>
            <w:r w:rsidRPr="00165D11">
              <w:rPr>
                <w:szCs w:val="24"/>
              </w:rPr>
              <w:t xml:space="preserve">, para </w:t>
            </w:r>
            <w:r w:rsidRPr="00165D11">
              <w:rPr>
                <w:szCs w:val="24"/>
              </w:rPr>
              <w:t xml:space="preserve">que su operación evite la </w:t>
            </w:r>
            <w:proofErr w:type="spellStart"/>
            <w:r w:rsidRPr="00165D11">
              <w:rPr>
                <w:szCs w:val="24"/>
              </w:rPr>
              <w:t>introduc</w:t>
            </w:r>
            <w:r w:rsidRPr="00165D11">
              <w:rPr>
                <w:szCs w:val="24"/>
              </w:rPr>
              <w:t>ión</w:t>
            </w:r>
            <w:proofErr w:type="spellEnd"/>
            <w:r w:rsidRPr="00165D11">
              <w:rPr>
                <w:szCs w:val="24"/>
              </w:rPr>
              <w:t xml:space="preserve"> distorsiones armónicas de tensión en la</w:t>
            </w:r>
            <w:r>
              <w:rPr>
                <w:szCs w:val="24"/>
              </w:rPr>
              <w:t xml:space="preserve"> red de la ANDE</w:t>
            </w:r>
          </w:p>
          <w:p w:rsidR="00810C49" w:rsidRPr="00E4238A" w:rsidRDefault="001D70D4" w:rsidP="00E4238A">
            <w:pPr>
              <w:spacing w:before="120" w:after="120" w:line="240" w:lineRule="auto"/>
              <w:ind w:right="96"/>
              <w:rPr>
                <w:szCs w:val="24"/>
              </w:rPr>
            </w:pPr>
            <w:r w:rsidRPr="00165D11">
              <w:rPr>
                <w:szCs w:val="24"/>
              </w:rPr>
              <w:t>Entiéndase por nominal las condiciones de uso normales acordes a las condiciones climáticas del lugar de instalació</w:t>
            </w:r>
            <w:bookmarkStart w:id="0" w:name="_GoBack"/>
            <w:bookmarkEnd w:id="0"/>
            <w:r w:rsidRPr="00165D11">
              <w:rPr>
                <w:szCs w:val="24"/>
              </w:rPr>
              <w:t>n de los bienes requeridos (humedad, temperatura promedio, etc.) y las fluctuaciones normales de la demanda de energía</w:t>
            </w:r>
            <w:r w:rsidR="00C57FBE" w:rsidRPr="00165D11">
              <w:rPr>
                <w:szCs w:val="24"/>
              </w:rPr>
              <w:t xml:space="preserve"> eléctrica </w:t>
            </w:r>
            <w:r w:rsidRPr="00165D11">
              <w:rPr>
                <w:szCs w:val="24"/>
              </w:rPr>
              <w:t>de</w:t>
            </w:r>
            <w:r w:rsidR="00D63D55" w:rsidRPr="00165D11">
              <w:rPr>
                <w:szCs w:val="24"/>
              </w:rPr>
              <w:t>l</w:t>
            </w:r>
            <w:r w:rsidR="00126E9C" w:rsidRPr="00165D11">
              <w:rPr>
                <w:szCs w:val="24"/>
              </w:rPr>
              <w:t xml:space="preserve"> </w:t>
            </w:r>
            <w:r w:rsidR="00D63D55" w:rsidRPr="00165D11">
              <w:rPr>
                <w:szCs w:val="24"/>
              </w:rPr>
              <w:t>lugar de instalación</w:t>
            </w:r>
            <w:r w:rsidRPr="00165D11">
              <w:rPr>
                <w:szCs w:val="24"/>
              </w:rPr>
              <w:t xml:space="preserve"> y zona de influencia.</w:t>
            </w:r>
          </w:p>
          <w:p w:rsidR="00E4238A" w:rsidRPr="00D13BA5" w:rsidRDefault="00E4238A" w:rsidP="00E4238A">
            <w:pPr>
              <w:spacing w:before="120" w:after="120" w:line="240" w:lineRule="auto"/>
              <w:ind w:right="96"/>
              <w:rPr>
                <w:szCs w:val="24"/>
              </w:rPr>
            </w:pPr>
            <w:r w:rsidRPr="00D13BA5">
              <w:rPr>
                <w:szCs w:val="24"/>
              </w:rPr>
              <w:t>El PIEE deberá adoptar las medidas necesarias de manera a evitar que la ejecución del contrato provoque disturbios en el sistema eléctrico de la ANDE, tales como distorsión armónica, fluctuación u otros desequilibrios de tensión.</w:t>
            </w:r>
          </w:p>
          <w:p w:rsidR="00E4238A" w:rsidRPr="00E4238A" w:rsidRDefault="00E4238A" w:rsidP="00E4238A">
            <w:pPr>
              <w:spacing w:before="120" w:after="120" w:line="240" w:lineRule="auto"/>
              <w:ind w:right="96"/>
              <w:rPr>
                <w:szCs w:val="24"/>
              </w:rPr>
            </w:pPr>
            <w:r w:rsidRPr="00D13BA5">
              <w:rPr>
                <w:szCs w:val="24"/>
              </w:rPr>
              <w:t>En caso que la operación realizada por el PIEE esté fuera de las condiciones pactadas en este Contrato, la ANDE podrá solicitar la interrupción del suministro sin perjuicio de la aplicación de penalidades previstas</w:t>
            </w:r>
            <w:r w:rsidRPr="00E4238A">
              <w:rPr>
                <w:szCs w:val="24"/>
              </w:rPr>
              <w:t xml:space="preserve"> en este Contrato.</w:t>
            </w:r>
          </w:p>
          <w:p w:rsidR="00136AA5" w:rsidRDefault="00E4238A" w:rsidP="00E4238A">
            <w:pPr>
              <w:spacing w:before="120" w:after="120" w:line="240" w:lineRule="auto"/>
              <w:ind w:right="96"/>
            </w:pPr>
            <w:r>
              <w:t xml:space="preserve">ANDE adquirirá la energía anual garantizada. En caso de existir un exceso de energía, ya sea por condiciones </w:t>
            </w:r>
            <w:r w:rsidR="00136AA5">
              <w:t>hidrológicas</w:t>
            </w:r>
            <w:r w:rsidR="00CA2F93">
              <w:t>/climatológicas/</w:t>
            </w:r>
            <w:r w:rsidR="00FB144E">
              <w:t>meteorológicas</w:t>
            </w:r>
            <w:r>
              <w:t xml:space="preserve"> óptimas u otras condiciones favorables</w:t>
            </w:r>
            <w:r w:rsidR="00FB144E">
              <w:t>,</w:t>
            </w:r>
            <w:r>
              <w:t xml:space="preserve"> la ANDE no está obligada a adquirir dicho exceso de energía. La tarifa de la energía excedente se negociará a un valor anual acordado entre el PIEE y la ANDE que no podrá ser superior al cincuenta por ciento (50%) de la Tarifa de Producción de Energía Eléctrica</w:t>
            </w:r>
            <w:r w:rsidR="00126E9C">
              <w:t xml:space="preserve"> </w:t>
            </w:r>
            <w:r w:rsidR="003B4530">
              <w:t>A</w:t>
            </w:r>
            <w:r w:rsidR="0009549F">
              <w:t>justada</w:t>
            </w:r>
            <w:r>
              <w:t>.</w:t>
            </w:r>
          </w:p>
          <w:p w:rsidR="00136AA5" w:rsidRDefault="001D70D4" w:rsidP="00E4238A">
            <w:pPr>
              <w:spacing w:before="120" w:after="120" w:line="240" w:lineRule="auto"/>
              <w:ind w:right="96"/>
            </w:pPr>
            <w:r w:rsidRPr="00B06433">
              <w:t>En caso de interrupción del suministro de energía eléctrica por parte del PIEE, este compensara a la ANDE en la facturación del mes siguiente, en un valor monetario igual, al monto de la energía no suministrada</w:t>
            </w:r>
            <w:r w:rsidR="00482BA2" w:rsidRPr="00165D11">
              <w:t xml:space="preserve"> </w:t>
            </w:r>
            <w:r w:rsidRPr="00B06433">
              <w:t>multiplicada</w:t>
            </w:r>
            <w:r w:rsidR="00482BA2" w:rsidRPr="00165D11">
              <w:t xml:space="preserve"> </w:t>
            </w:r>
            <w:r w:rsidRPr="00B06433">
              <w:t>por</w:t>
            </w:r>
            <w:r w:rsidR="00482BA2" w:rsidRPr="00165D11">
              <w:t xml:space="preserve"> </w:t>
            </w:r>
            <w:r w:rsidRPr="00B06433">
              <w:t>cuatro (4) veces el valor de la Tarifa de Producción de Energía Eléctrica</w:t>
            </w:r>
            <w:r w:rsidR="00482BA2" w:rsidRPr="00165D11">
              <w:t xml:space="preserve"> </w:t>
            </w:r>
            <w:r w:rsidR="003B4530" w:rsidRPr="00165D11">
              <w:t>A</w:t>
            </w:r>
            <w:r w:rsidRPr="00B06433">
              <w:t>justada.</w:t>
            </w:r>
          </w:p>
          <w:p w:rsidR="008664D6" w:rsidRDefault="00E4238A" w:rsidP="00E4238A">
            <w:pPr>
              <w:spacing w:before="120" w:after="120" w:line="240" w:lineRule="auto"/>
              <w:ind w:right="96"/>
            </w:pPr>
            <w:r>
              <w:t>En caso de que exista un faltante de lo que corresponde a la energía eléctrica garantizada, el PIEE compensará a la ANDE, al cierre anual, el mismo monto en la moneda del contrato</w:t>
            </w:r>
            <w:r w:rsidR="00680B8A">
              <w:t>.</w:t>
            </w:r>
          </w:p>
          <w:p w:rsidR="00B7259F" w:rsidRPr="008664D6" w:rsidRDefault="001D70D4" w:rsidP="00B7259F">
            <w:pPr>
              <w:spacing w:before="120" w:after="120" w:line="240" w:lineRule="auto"/>
              <w:ind w:right="96"/>
              <w:rPr>
                <w:szCs w:val="24"/>
                <w:lang w:val="es-ES_tradnl"/>
              </w:rPr>
            </w:pPr>
            <w:r w:rsidRPr="00B06433">
              <w:rPr>
                <w:szCs w:val="24"/>
                <w:lang w:val="es-ES_tradnl"/>
              </w:rPr>
              <w:t>El suministro de Energía Eléctrica y la Central Generadora de Energía Eléctrica podrán ser ampliados a solicitud de la ANDE, dentro de la vigencia del contrato hasta un máximo de 2 MW en total, con factor de planta similar a la etapa inicial en cada ampliación.</w:t>
            </w:r>
          </w:p>
        </w:tc>
      </w:tr>
      <w:tr w:rsidR="0024755C" w:rsidRPr="000A1B93" w:rsidTr="00165D11">
        <w:trPr>
          <w:trHeight w:val="725"/>
        </w:trPr>
        <w:tc>
          <w:tcPr>
            <w:tcW w:w="1560" w:type="dxa"/>
          </w:tcPr>
          <w:p w:rsidR="0024755C" w:rsidRPr="000A1B93" w:rsidRDefault="00D13BA5" w:rsidP="00635958">
            <w:pPr>
              <w:spacing w:before="120" w:after="120" w:line="240" w:lineRule="auto"/>
              <w:rPr>
                <w:b/>
                <w:bCs/>
                <w:szCs w:val="24"/>
              </w:rPr>
            </w:pPr>
            <w:r>
              <w:rPr>
                <w:b/>
                <w:bCs/>
                <w:szCs w:val="24"/>
              </w:rPr>
              <w:t>CEC</w:t>
            </w:r>
            <w:r w:rsidR="0024755C" w:rsidRPr="000A1B93">
              <w:rPr>
                <w:b/>
                <w:bCs/>
                <w:szCs w:val="24"/>
              </w:rPr>
              <w:t xml:space="preserve"> 32.2</w:t>
            </w:r>
          </w:p>
        </w:tc>
        <w:tc>
          <w:tcPr>
            <w:tcW w:w="8079" w:type="dxa"/>
            <w:vAlign w:val="center"/>
          </w:tcPr>
          <w:p w:rsidR="0024755C" w:rsidRPr="000A1B93" w:rsidRDefault="0024755C" w:rsidP="00635958">
            <w:pPr>
              <w:spacing w:before="120" w:after="120" w:line="240" w:lineRule="auto"/>
              <w:ind w:right="95"/>
              <w:rPr>
                <w:b/>
                <w:szCs w:val="24"/>
              </w:rPr>
            </w:pPr>
            <w:r w:rsidRPr="000A1B93">
              <w:rPr>
                <w:b/>
                <w:szCs w:val="24"/>
              </w:rPr>
              <w:t>Medición y Control de Suministro</w:t>
            </w:r>
          </w:p>
          <w:p w:rsidR="0024755C" w:rsidRPr="000A1B93" w:rsidRDefault="0024755C" w:rsidP="00635958">
            <w:pPr>
              <w:spacing w:before="120" w:after="120" w:line="240" w:lineRule="auto"/>
              <w:ind w:right="95"/>
              <w:rPr>
                <w:szCs w:val="24"/>
              </w:rPr>
            </w:pPr>
            <w:r w:rsidRPr="000A1B93">
              <w:rPr>
                <w:szCs w:val="24"/>
              </w:rPr>
              <w:t xml:space="preserve">La medición y facturación de la energía suministrada será realizada en el </w:t>
            </w:r>
            <w:r w:rsidR="00134ADF">
              <w:rPr>
                <w:szCs w:val="24"/>
              </w:rPr>
              <w:t>Punto de E</w:t>
            </w:r>
            <w:r w:rsidRPr="000A1B93">
              <w:rPr>
                <w:szCs w:val="24"/>
              </w:rPr>
              <w:t>ntrega.</w:t>
            </w:r>
            <w:r w:rsidR="00482BA2">
              <w:rPr>
                <w:szCs w:val="24"/>
              </w:rPr>
              <w:t xml:space="preserve"> </w:t>
            </w:r>
            <w:r w:rsidRPr="000A1B93">
              <w:rPr>
                <w:szCs w:val="24"/>
              </w:rPr>
              <w:t xml:space="preserve">El PIEE deberá disponer en sus </w:t>
            </w:r>
            <w:r w:rsidR="00680B8A">
              <w:rPr>
                <w:szCs w:val="24"/>
              </w:rPr>
              <w:t>I</w:t>
            </w:r>
            <w:r w:rsidRPr="000A1B93">
              <w:rPr>
                <w:szCs w:val="24"/>
              </w:rPr>
              <w:t>nstalaciones</w:t>
            </w:r>
            <w:r w:rsidR="00680B8A">
              <w:rPr>
                <w:szCs w:val="24"/>
              </w:rPr>
              <w:t xml:space="preserve"> de Suministro</w:t>
            </w:r>
            <w:r w:rsidRPr="000A1B93">
              <w:rPr>
                <w:szCs w:val="24"/>
              </w:rPr>
              <w:t xml:space="preserve">, de un conjunto de medición de características y de precisión similares a los de la ANDE. </w:t>
            </w:r>
          </w:p>
          <w:p w:rsidR="0024755C" w:rsidRPr="000A1B93" w:rsidRDefault="0024755C" w:rsidP="00635958">
            <w:pPr>
              <w:spacing w:before="120" w:after="120" w:line="240" w:lineRule="auto"/>
              <w:ind w:right="95"/>
              <w:rPr>
                <w:szCs w:val="24"/>
              </w:rPr>
            </w:pPr>
            <w:r w:rsidRPr="000A1B93">
              <w:rPr>
                <w:szCs w:val="24"/>
              </w:rPr>
              <w:t>Las lecturas de las mediciones serán efectuadas en el último día de cada mes por personal autorizado de la ANDE y el representante del PIEE en forma coordinada.</w:t>
            </w:r>
          </w:p>
          <w:p w:rsidR="0024755C" w:rsidRPr="00D13BA5" w:rsidRDefault="0024755C" w:rsidP="00635958">
            <w:pPr>
              <w:spacing w:before="120" w:after="120" w:line="240" w:lineRule="auto"/>
              <w:ind w:right="95"/>
              <w:rPr>
                <w:szCs w:val="24"/>
              </w:rPr>
            </w:pPr>
            <w:r w:rsidRPr="000A1B93">
              <w:rPr>
                <w:szCs w:val="24"/>
              </w:rPr>
              <w:t xml:space="preserve">Todos los aparatos medidores y registradores, así como los transformadores de medición, deberán ser ensayados, calibrados y </w:t>
            </w:r>
            <w:r w:rsidRPr="00D13BA5">
              <w:rPr>
                <w:szCs w:val="24"/>
              </w:rPr>
              <w:t>ajustados conjuntamente por la ANDE y el PIEE antes de</w:t>
            </w:r>
            <w:r w:rsidRPr="000A1B93">
              <w:rPr>
                <w:szCs w:val="24"/>
              </w:rPr>
              <w:t xml:space="preserve">l inicio del suministro y posteriormente deberán ser tomadas iguales acciones cada 12 (doce) meses para los aparatos medidores y registradores, y cada 24 (veinticuatro) meses para los transformadores de medición. Las partes </w:t>
            </w:r>
            <w:r w:rsidRPr="00D13BA5">
              <w:rPr>
                <w:szCs w:val="24"/>
              </w:rPr>
              <w:t xml:space="preserve">podrán solicitar otros ensayos, en cualquier tiempo.  Todos los costos asociados estarán </w:t>
            </w:r>
            <w:r w:rsidR="00084759" w:rsidRPr="00D13BA5">
              <w:rPr>
                <w:szCs w:val="24"/>
              </w:rPr>
              <w:t xml:space="preserve">a </w:t>
            </w:r>
            <w:r w:rsidRPr="00D13BA5">
              <w:rPr>
                <w:szCs w:val="24"/>
              </w:rPr>
              <w:t xml:space="preserve">cargo del PIEE.  </w:t>
            </w:r>
          </w:p>
          <w:p w:rsidR="0024755C" w:rsidRPr="00D13BA5" w:rsidRDefault="0024755C" w:rsidP="00635958">
            <w:pPr>
              <w:spacing w:before="120" w:after="120" w:line="240" w:lineRule="auto"/>
              <w:ind w:right="95"/>
              <w:rPr>
                <w:szCs w:val="24"/>
              </w:rPr>
            </w:pPr>
            <w:r w:rsidRPr="00D13BA5">
              <w:rPr>
                <w:szCs w:val="24"/>
              </w:rPr>
              <w:t xml:space="preserve">Los ensayos, ajustes y calibraciones mencionados, deberán ser realizados conjuntamente por la ANDE y el PIEE. En el Punto de </w:t>
            </w:r>
            <w:r w:rsidR="00134ADF" w:rsidRPr="00D13BA5">
              <w:rPr>
                <w:szCs w:val="24"/>
              </w:rPr>
              <w:t>E</w:t>
            </w:r>
            <w:r w:rsidRPr="00D13BA5">
              <w:rPr>
                <w:szCs w:val="24"/>
              </w:rPr>
              <w:t>ntrega deberán ser instalados dos medidores de idénticas características siendo considerado uno de ellos como principal y el otro como respaldo del anterior. La facturación del suministro de energía se realizará en base a las lecturas obtenidas del medidor principal.</w:t>
            </w:r>
            <w:r w:rsidR="00482BA2">
              <w:rPr>
                <w:szCs w:val="24"/>
              </w:rPr>
              <w:t xml:space="preserve"> </w:t>
            </w:r>
            <w:r w:rsidRPr="00D13BA5">
              <w:rPr>
                <w:szCs w:val="24"/>
              </w:rPr>
              <w:t>Si durante el suministro de energía eléctrica ocurrieren defectos (fuera de clase de precisión) en el equipo de medición considerado como principal, el medidor de respaldo será utilizado como substitutivo para los efectos de facturación, hasta que sean superados los inconvenientes en el primer equipo.</w:t>
            </w:r>
          </w:p>
          <w:p w:rsidR="0024755C" w:rsidRPr="00D13BA5" w:rsidRDefault="0024755C" w:rsidP="00635958">
            <w:pPr>
              <w:spacing w:before="120" w:after="120" w:line="240" w:lineRule="auto"/>
              <w:ind w:right="95"/>
              <w:rPr>
                <w:szCs w:val="24"/>
              </w:rPr>
            </w:pPr>
            <w:r w:rsidRPr="00D13BA5">
              <w:rPr>
                <w:szCs w:val="24"/>
              </w:rPr>
              <w:t xml:space="preserve">En caso de defecto simultáneo de los 2 (dos) equipos de medición, se tomarán las lecturas de los medidores instalados en la </w:t>
            </w:r>
            <w:r w:rsidR="001D70D4" w:rsidRPr="00165D11">
              <w:rPr>
                <w:szCs w:val="24"/>
              </w:rPr>
              <w:t>Central Generadora.</w:t>
            </w:r>
          </w:p>
          <w:p w:rsidR="0024755C" w:rsidRPr="000A1B93" w:rsidRDefault="0024755C" w:rsidP="00635958">
            <w:pPr>
              <w:spacing w:before="120" w:after="120" w:line="240" w:lineRule="auto"/>
              <w:ind w:right="95"/>
              <w:rPr>
                <w:szCs w:val="24"/>
              </w:rPr>
            </w:pPr>
            <w:r w:rsidRPr="00D13BA5">
              <w:rPr>
                <w:szCs w:val="24"/>
              </w:rPr>
              <w:t>De verificarse errores en la medición, por los motivos mencionados, la misma</w:t>
            </w:r>
            <w:r w:rsidRPr="000A1B93">
              <w:rPr>
                <w:szCs w:val="24"/>
              </w:rPr>
              <w:t xml:space="preserve"> será corregida para efectos de facturación, exclusivamente en el mes correspondiente a la detección del defecto, conforme a lo establecido en los párrafos anteriores.</w:t>
            </w:r>
          </w:p>
          <w:p w:rsidR="0024755C" w:rsidRPr="000A1B93" w:rsidRDefault="0024755C" w:rsidP="00635958">
            <w:pPr>
              <w:spacing w:before="120" w:after="120" w:line="240" w:lineRule="auto"/>
              <w:ind w:right="95"/>
              <w:rPr>
                <w:szCs w:val="24"/>
              </w:rPr>
            </w:pPr>
            <w:r w:rsidRPr="000A1B93">
              <w:rPr>
                <w:szCs w:val="24"/>
              </w:rPr>
              <w:t>Los registros serán realizados a través de 2 (dos) conjuntos de medidores-registradores similares a ser suministrados por la ANDE, que operarán en forma simultánea, en carácter de principal y como respaldo y control respectivamente, con capacidad de captar, registrar, exhibir, enviar y mantener disponibles las informaciones necesarias para el control del consumo de energía eléctrica.</w:t>
            </w:r>
          </w:p>
          <w:p w:rsidR="0024755C" w:rsidRPr="000A1B93" w:rsidRDefault="0024755C" w:rsidP="00904BEB">
            <w:pPr>
              <w:spacing w:before="120" w:after="120" w:line="240" w:lineRule="auto"/>
              <w:ind w:right="95"/>
              <w:rPr>
                <w:b/>
                <w:szCs w:val="24"/>
              </w:rPr>
            </w:pPr>
            <w:r w:rsidRPr="000A1B93">
              <w:rPr>
                <w:szCs w:val="24"/>
              </w:rPr>
              <w:t xml:space="preserve">Los aparatos medidores y registradores, de propiedad de ANDE, así como los transformadores de medición asociados, </w:t>
            </w:r>
            <w:r w:rsidRPr="00D13BA5">
              <w:rPr>
                <w:szCs w:val="24"/>
              </w:rPr>
              <w:t>deberán ser ensayados, calibrados y ajustados por la ANDE y el representante del PIEE</w:t>
            </w:r>
            <w:r w:rsidRPr="000A1B93">
              <w:rPr>
                <w:szCs w:val="24"/>
              </w:rPr>
              <w:t xml:space="preserve"> en forma coordinada, conforme a lo establecido en los </w:t>
            </w:r>
            <w:r w:rsidR="00904BEB">
              <w:rPr>
                <w:szCs w:val="24"/>
              </w:rPr>
              <w:t>párrafos anteriores</w:t>
            </w:r>
            <w:r w:rsidRPr="000A1B93">
              <w:rPr>
                <w:szCs w:val="24"/>
              </w:rPr>
              <w:t>.</w:t>
            </w:r>
          </w:p>
        </w:tc>
      </w:tr>
      <w:tr w:rsidR="00B06433" w:rsidRPr="000A1B93" w:rsidTr="00165D11">
        <w:trPr>
          <w:trHeight w:val="725"/>
        </w:trPr>
        <w:tc>
          <w:tcPr>
            <w:tcW w:w="1560" w:type="dxa"/>
          </w:tcPr>
          <w:p w:rsidR="00B06433" w:rsidRPr="000A1B93" w:rsidRDefault="00B06433">
            <w:pPr>
              <w:spacing w:before="120" w:after="120" w:line="240" w:lineRule="auto"/>
              <w:rPr>
                <w:b/>
                <w:bCs/>
                <w:szCs w:val="24"/>
              </w:rPr>
            </w:pPr>
            <w:r>
              <w:rPr>
                <w:b/>
                <w:bCs/>
                <w:szCs w:val="24"/>
              </w:rPr>
              <w:t>CEC</w:t>
            </w:r>
            <w:r w:rsidRPr="000A1B93">
              <w:rPr>
                <w:b/>
                <w:bCs/>
                <w:szCs w:val="24"/>
              </w:rPr>
              <w:t xml:space="preserve"> 32.</w:t>
            </w:r>
            <w:r w:rsidR="007B18F6">
              <w:rPr>
                <w:b/>
                <w:bCs/>
                <w:szCs w:val="24"/>
              </w:rPr>
              <w:t>3</w:t>
            </w:r>
          </w:p>
        </w:tc>
        <w:tc>
          <w:tcPr>
            <w:tcW w:w="8079" w:type="dxa"/>
            <w:vAlign w:val="center"/>
          </w:tcPr>
          <w:p w:rsidR="00B06433" w:rsidRPr="000A1B93" w:rsidRDefault="00B06433" w:rsidP="00635958">
            <w:pPr>
              <w:spacing w:before="120" w:after="120" w:line="240" w:lineRule="auto"/>
              <w:ind w:right="95"/>
              <w:rPr>
                <w:b/>
                <w:szCs w:val="24"/>
              </w:rPr>
            </w:pPr>
            <w:r w:rsidRPr="00D06DE9">
              <w:rPr>
                <w:b/>
                <w:szCs w:val="24"/>
              </w:rPr>
              <w:t>Contabilización y Facturación del Suministro</w:t>
            </w:r>
          </w:p>
          <w:p w:rsidR="00B06433" w:rsidRDefault="00B06433" w:rsidP="00635958">
            <w:pPr>
              <w:spacing w:before="120" w:after="120" w:line="240" w:lineRule="auto"/>
              <w:ind w:right="95"/>
              <w:rPr>
                <w:szCs w:val="24"/>
              </w:rPr>
            </w:pPr>
            <w:r w:rsidRPr="000A1B93">
              <w:rPr>
                <w:szCs w:val="24"/>
              </w:rPr>
              <w:t>La contabilización y facturac</w:t>
            </w:r>
            <w:r>
              <w:rPr>
                <w:szCs w:val="24"/>
              </w:rPr>
              <w:t xml:space="preserve">ión del suministro será mensual. </w:t>
            </w:r>
            <w:r w:rsidRPr="000A1B93">
              <w:rPr>
                <w:szCs w:val="24"/>
              </w:rPr>
              <w:t xml:space="preserve">Será facturada la energía efectivamente registrada a la tarifa </w:t>
            </w:r>
            <w:r>
              <w:rPr>
                <w:szCs w:val="24"/>
              </w:rPr>
              <w:t>contratada en el Punto de Entrega establecido a partir de la fecha de inicio de la operación comercial.</w:t>
            </w:r>
          </w:p>
          <w:p w:rsidR="00074C29" w:rsidRDefault="00074C29" w:rsidP="00635958">
            <w:pPr>
              <w:spacing w:before="120" w:after="120" w:line="240" w:lineRule="auto"/>
              <w:ind w:right="95"/>
              <w:rPr>
                <w:szCs w:val="24"/>
              </w:rPr>
            </w:pPr>
            <w:r w:rsidRPr="000A1B93">
              <w:rPr>
                <w:szCs w:val="24"/>
              </w:rPr>
              <w:t xml:space="preserve">Durante </w:t>
            </w:r>
            <w:r>
              <w:rPr>
                <w:szCs w:val="24"/>
              </w:rPr>
              <w:t>la</w:t>
            </w:r>
            <w:r w:rsidRPr="000A1B93">
              <w:rPr>
                <w:szCs w:val="24"/>
              </w:rPr>
              <w:t xml:space="preserve"> Operación Experimental será facturada la energía efectivamente registrada a la tarifa </w:t>
            </w:r>
            <w:r>
              <w:rPr>
                <w:szCs w:val="24"/>
              </w:rPr>
              <w:t>contratada.</w:t>
            </w:r>
          </w:p>
          <w:p w:rsidR="008E0DC1" w:rsidRPr="00EC4AF8" w:rsidRDefault="008E0DC1" w:rsidP="008E0DC1">
            <w:pPr>
              <w:spacing w:before="120" w:after="120" w:line="240" w:lineRule="auto"/>
              <w:ind w:right="-72"/>
              <w:rPr>
                <w:lang w:val="es-CO"/>
              </w:rPr>
            </w:pPr>
            <w:r w:rsidRPr="00EC4AF8">
              <w:rPr>
                <w:lang w:val="es-CO"/>
              </w:rPr>
              <w:t xml:space="preserve">El </w:t>
            </w:r>
            <w:r>
              <w:rPr>
                <w:lang w:val="es-CO"/>
              </w:rPr>
              <w:t>PIEE</w:t>
            </w:r>
            <w:r w:rsidRPr="00EC4AF8">
              <w:rPr>
                <w:lang w:val="es-CO"/>
              </w:rPr>
              <w:t xml:space="preserve"> deberá facturar </w:t>
            </w:r>
            <w:r w:rsidR="0093770C" w:rsidRPr="0093770C">
              <w:rPr>
                <w:lang w:val="es-CO"/>
              </w:rPr>
              <w:t>las tasas e</w:t>
            </w:r>
            <w:r w:rsidR="0093770C">
              <w:rPr>
                <w:lang w:val="es-CO"/>
              </w:rPr>
              <w:t xml:space="preserve"> </w:t>
            </w:r>
            <w:r w:rsidRPr="00EC4AF8">
              <w:rPr>
                <w:lang w:val="es-CO"/>
              </w:rPr>
              <w:t>impuestos directos e indirectos derivados d</w:t>
            </w:r>
            <w:r>
              <w:rPr>
                <w:lang w:val="es-CO"/>
              </w:rPr>
              <w:t xml:space="preserve">e la prestación del servicio suministro de energía eléctrica </w:t>
            </w:r>
            <w:r w:rsidRPr="00EC4AF8">
              <w:rPr>
                <w:lang w:val="es-CO"/>
              </w:rPr>
              <w:t>de conformidad a la legislación tributaria vigente.</w:t>
            </w:r>
          </w:p>
          <w:p w:rsidR="008E0DC1" w:rsidRDefault="008E0DC1" w:rsidP="008E0DC1">
            <w:pPr>
              <w:spacing w:before="120" w:after="120" w:line="240" w:lineRule="auto"/>
              <w:ind w:right="95"/>
              <w:rPr>
                <w:szCs w:val="24"/>
              </w:rPr>
            </w:pPr>
            <w:r>
              <w:rPr>
                <w:szCs w:val="24"/>
              </w:rPr>
              <w:t>La ANDE</w:t>
            </w:r>
            <w:r w:rsidRPr="00EC4AF8">
              <w:rPr>
                <w:lang w:val="es-CO"/>
              </w:rPr>
              <w:t xml:space="preserve"> realizará la retención </w:t>
            </w:r>
            <w:r w:rsidR="0093770C">
              <w:rPr>
                <w:lang w:val="es-CO"/>
              </w:rPr>
              <w:t xml:space="preserve">de </w:t>
            </w:r>
            <w:r w:rsidR="0093770C" w:rsidRPr="0093770C">
              <w:rPr>
                <w:lang w:val="es-CO"/>
              </w:rPr>
              <w:t>tasas e</w:t>
            </w:r>
            <w:r w:rsidR="0093770C">
              <w:rPr>
                <w:lang w:val="es-CO"/>
              </w:rPr>
              <w:t xml:space="preserve"> </w:t>
            </w:r>
            <w:r w:rsidR="0093770C" w:rsidRPr="00EC4AF8">
              <w:rPr>
                <w:lang w:val="es-CO"/>
              </w:rPr>
              <w:t xml:space="preserve">impuestos </w:t>
            </w:r>
            <w:r w:rsidR="0093770C">
              <w:rPr>
                <w:lang w:val="es-CO"/>
              </w:rPr>
              <w:t xml:space="preserve">de </w:t>
            </w:r>
            <w:r w:rsidRPr="00EC4AF8">
              <w:rPr>
                <w:lang w:val="es-CO"/>
              </w:rPr>
              <w:t>acuerdo a la legislación tributaria vigente.</w:t>
            </w:r>
          </w:p>
          <w:p w:rsidR="00B06433" w:rsidRDefault="00B06433" w:rsidP="004C5404">
            <w:pPr>
              <w:spacing w:before="120" w:after="120" w:line="240" w:lineRule="auto"/>
              <w:ind w:right="95"/>
              <w:rPr>
                <w:szCs w:val="24"/>
              </w:rPr>
            </w:pPr>
            <w:r>
              <w:rPr>
                <w:szCs w:val="24"/>
              </w:rPr>
              <w:t>Las facturas emitidas por el PIEE serán presentadas a la ANDE en su domicilio.</w:t>
            </w:r>
          </w:p>
          <w:p w:rsidR="008E0DC1" w:rsidRPr="00165D11" w:rsidRDefault="00B06433">
            <w:pPr>
              <w:spacing w:before="120" w:after="120" w:line="240" w:lineRule="auto"/>
              <w:ind w:right="95"/>
              <w:rPr>
                <w:sz w:val="22"/>
                <w:szCs w:val="24"/>
              </w:rPr>
            </w:pPr>
            <w:r>
              <w:rPr>
                <w:szCs w:val="24"/>
              </w:rPr>
              <w:t xml:space="preserve">Estas facturas expresadas en Dólares de los Estados Unidos de América serán pagadas por la ANDE en guaraníes, acorde a su equivalencia de dólares, al tipo de cambio vendedor del Banco Central del Paraguay, del día anterior a la fecha del pago, y dentro del plazo de </w:t>
            </w:r>
            <w:r w:rsidR="00074C29" w:rsidRPr="00165D11">
              <w:rPr>
                <w:szCs w:val="24"/>
              </w:rPr>
              <w:t>30</w:t>
            </w:r>
            <w:r w:rsidRPr="00290665">
              <w:rPr>
                <w:szCs w:val="24"/>
              </w:rPr>
              <w:t xml:space="preserve"> (</w:t>
            </w:r>
            <w:r w:rsidR="00074C29" w:rsidRPr="00165D11">
              <w:rPr>
                <w:szCs w:val="24"/>
              </w:rPr>
              <w:t>treinta</w:t>
            </w:r>
            <w:r w:rsidRPr="00290665">
              <w:rPr>
                <w:szCs w:val="24"/>
              </w:rPr>
              <w:t>) días contados</w:t>
            </w:r>
            <w:r>
              <w:rPr>
                <w:szCs w:val="24"/>
              </w:rPr>
              <w:t xml:space="preserve"> a partir de la fecha de recepción de la factura.</w:t>
            </w:r>
          </w:p>
        </w:tc>
      </w:tr>
      <w:tr w:rsidR="00B06433" w:rsidRPr="000A1B93" w:rsidTr="00165D11">
        <w:trPr>
          <w:trHeight w:val="322"/>
        </w:trPr>
        <w:tc>
          <w:tcPr>
            <w:tcW w:w="1560" w:type="dxa"/>
          </w:tcPr>
          <w:p w:rsidR="00B06433" w:rsidRPr="000A1B93" w:rsidRDefault="00B06433" w:rsidP="00C83956">
            <w:pPr>
              <w:spacing w:before="120" w:after="120" w:line="240" w:lineRule="auto"/>
              <w:jc w:val="left"/>
              <w:rPr>
                <w:b/>
                <w:bCs/>
                <w:szCs w:val="24"/>
              </w:rPr>
            </w:pPr>
            <w:r>
              <w:rPr>
                <w:b/>
                <w:bCs/>
                <w:szCs w:val="24"/>
              </w:rPr>
              <w:t>CEC</w:t>
            </w:r>
            <w:r w:rsidRPr="000A1B93">
              <w:rPr>
                <w:b/>
                <w:bCs/>
                <w:szCs w:val="24"/>
              </w:rPr>
              <w:t xml:space="preserve"> 33.1(g)</w:t>
            </w:r>
          </w:p>
        </w:tc>
        <w:tc>
          <w:tcPr>
            <w:tcW w:w="8079" w:type="dxa"/>
            <w:vAlign w:val="center"/>
          </w:tcPr>
          <w:p w:rsidR="00B06433" w:rsidRPr="000A1B93" w:rsidRDefault="00B06433" w:rsidP="00AE30DF">
            <w:pPr>
              <w:spacing w:before="120" w:after="120" w:line="240" w:lineRule="auto"/>
              <w:ind w:right="96"/>
              <w:rPr>
                <w:b/>
                <w:szCs w:val="24"/>
              </w:rPr>
            </w:pPr>
            <w:r w:rsidRPr="000A1B93">
              <w:rPr>
                <w:b/>
                <w:szCs w:val="24"/>
              </w:rPr>
              <w:t>Rescisión del Contrato</w:t>
            </w:r>
          </w:p>
          <w:p w:rsidR="00B06433" w:rsidRPr="000A1B93" w:rsidRDefault="00B06433" w:rsidP="00AE30DF">
            <w:pPr>
              <w:spacing w:before="120" w:after="120" w:line="240" w:lineRule="auto"/>
              <w:ind w:right="96"/>
              <w:rPr>
                <w:szCs w:val="24"/>
              </w:rPr>
            </w:pPr>
            <w:r w:rsidRPr="000A1B93">
              <w:rPr>
                <w:szCs w:val="24"/>
              </w:rPr>
              <w:t>Además de las causales previstas en las Condiciones Generales del Contrato</w:t>
            </w:r>
            <w:r>
              <w:rPr>
                <w:szCs w:val="24"/>
              </w:rPr>
              <w:t xml:space="preserve"> (CGC)</w:t>
            </w:r>
            <w:r w:rsidRPr="000A1B93">
              <w:rPr>
                <w:szCs w:val="24"/>
              </w:rPr>
              <w:t xml:space="preserve"> el mismo podrá ser rescindido si al cabo de 12 (doce) meses de firmado el Contrato se detectare atrasos que permitan a la ANDE concluir razonablemente que los avances no concuerdan con el cronograma de obras establecido en el Contrato.</w:t>
            </w:r>
          </w:p>
          <w:p w:rsidR="00B06433" w:rsidRPr="000A1B93" w:rsidRDefault="00B06433" w:rsidP="00AE30DF">
            <w:pPr>
              <w:spacing w:before="120" w:after="120" w:line="240" w:lineRule="auto"/>
              <w:ind w:right="95"/>
              <w:rPr>
                <w:b/>
                <w:szCs w:val="24"/>
              </w:rPr>
            </w:pPr>
            <w:r w:rsidRPr="000A1B93">
              <w:rPr>
                <w:szCs w:val="24"/>
              </w:rPr>
              <w:t xml:space="preserve">En caso de rescisión </w:t>
            </w:r>
            <w:r w:rsidRPr="00D13BA5">
              <w:rPr>
                <w:szCs w:val="24"/>
              </w:rPr>
              <w:t>el PIEE no podrá solicitar la devolución por las inversiones realizadas en infraestructura de suministro</w:t>
            </w:r>
            <w:r w:rsidRPr="000A1B93">
              <w:rPr>
                <w:szCs w:val="24"/>
              </w:rPr>
              <w:t xml:space="preserve"> de energía eléctrica las cuales formarán parte del patrimonio de ANDE.</w:t>
            </w:r>
          </w:p>
        </w:tc>
      </w:tr>
      <w:tr w:rsidR="00B06433" w:rsidRPr="000A1B93" w:rsidTr="00165D11">
        <w:trPr>
          <w:trHeight w:val="725"/>
        </w:trPr>
        <w:tc>
          <w:tcPr>
            <w:tcW w:w="1560" w:type="dxa"/>
          </w:tcPr>
          <w:p w:rsidR="00B06433" w:rsidRPr="000A1B93" w:rsidRDefault="00B06433" w:rsidP="00635958">
            <w:pPr>
              <w:spacing w:before="120" w:after="120" w:line="240" w:lineRule="auto"/>
              <w:rPr>
                <w:b/>
                <w:bCs/>
                <w:szCs w:val="24"/>
              </w:rPr>
            </w:pPr>
            <w:r>
              <w:rPr>
                <w:b/>
                <w:bCs/>
                <w:szCs w:val="24"/>
              </w:rPr>
              <w:t>CEC</w:t>
            </w:r>
            <w:r w:rsidRPr="000A1B93">
              <w:rPr>
                <w:b/>
                <w:bCs/>
                <w:szCs w:val="24"/>
              </w:rPr>
              <w:t xml:space="preserve"> 36.1 </w:t>
            </w:r>
          </w:p>
        </w:tc>
        <w:tc>
          <w:tcPr>
            <w:tcW w:w="8079" w:type="dxa"/>
            <w:vAlign w:val="center"/>
          </w:tcPr>
          <w:p w:rsidR="00B06433" w:rsidRPr="000A1B93" w:rsidRDefault="00B06433" w:rsidP="00635958">
            <w:pPr>
              <w:spacing w:before="120" w:after="120" w:line="240" w:lineRule="auto"/>
              <w:ind w:right="95"/>
              <w:rPr>
                <w:b/>
                <w:szCs w:val="24"/>
              </w:rPr>
            </w:pPr>
            <w:r w:rsidRPr="000A1B93">
              <w:rPr>
                <w:b/>
                <w:szCs w:val="24"/>
              </w:rPr>
              <w:t>Solución de Controversias</w:t>
            </w:r>
          </w:p>
          <w:p w:rsidR="00B06433" w:rsidRPr="000A1B93" w:rsidRDefault="00B06433">
            <w:pPr>
              <w:spacing w:before="120" w:after="120" w:line="240" w:lineRule="auto"/>
              <w:ind w:right="95"/>
              <w:rPr>
                <w:b/>
                <w:szCs w:val="24"/>
              </w:rPr>
            </w:pPr>
            <w:r w:rsidRPr="000A1B93">
              <w:rPr>
                <w:szCs w:val="24"/>
              </w:rPr>
              <w:t xml:space="preserve">El mecanismo de solución de controversias será el Arbitraje conforme a lo establecido en el Art. </w:t>
            </w:r>
            <w:r>
              <w:rPr>
                <w:szCs w:val="24"/>
              </w:rPr>
              <w:t xml:space="preserve">33 </w:t>
            </w:r>
            <w:r w:rsidRPr="000A1B93">
              <w:rPr>
                <w:szCs w:val="24"/>
              </w:rPr>
              <w:t xml:space="preserve">de la Ley </w:t>
            </w:r>
            <w:r>
              <w:rPr>
                <w:szCs w:val="24"/>
              </w:rPr>
              <w:t>3009</w:t>
            </w:r>
            <w:r w:rsidRPr="000A1B93">
              <w:rPr>
                <w:szCs w:val="24"/>
              </w:rPr>
              <w:t>/</w:t>
            </w:r>
            <w:r>
              <w:rPr>
                <w:szCs w:val="24"/>
              </w:rPr>
              <w:t xml:space="preserve">2006 </w:t>
            </w:r>
            <w:r w:rsidRPr="000A1B93">
              <w:rPr>
                <w:szCs w:val="24"/>
              </w:rPr>
              <w:t xml:space="preserve">con el procedimiento establecido en el Reglamento </w:t>
            </w:r>
            <w:r w:rsidRPr="00D13BA5">
              <w:rPr>
                <w:szCs w:val="24"/>
              </w:rPr>
              <w:t>de Conciliación y Arbitraje de la Cámara Internacional de Comercio de París</w:t>
            </w:r>
            <w:r w:rsidRPr="000A1B93">
              <w:rPr>
                <w:szCs w:val="24"/>
              </w:rPr>
              <w:t>.</w:t>
            </w:r>
          </w:p>
        </w:tc>
      </w:tr>
      <w:tr w:rsidR="00B06433" w:rsidRPr="000A1B93" w:rsidTr="00165D11">
        <w:trPr>
          <w:trHeight w:val="725"/>
        </w:trPr>
        <w:tc>
          <w:tcPr>
            <w:tcW w:w="1560" w:type="dxa"/>
          </w:tcPr>
          <w:p w:rsidR="00B06433" w:rsidRPr="000A1B93" w:rsidRDefault="00B06433" w:rsidP="00635958">
            <w:pPr>
              <w:spacing w:before="120" w:after="120" w:line="240" w:lineRule="auto"/>
              <w:rPr>
                <w:b/>
                <w:bCs/>
                <w:szCs w:val="24"/>
              </w:rPr>
            </w:pPr>
            <w:r>
              <w:rPr>
                <w:b/>
                <w:bCs/>
                <w:szCs w:val="24"/>
              </w:rPr>
              <w:t>CEC</w:t>
            </w:r>
            <w:r w:rsidRPr="000A1B93">
              <w:rPr>
                <w:b/>
                <w:bCs/>
                <w:szCs w:val="24"/>
              </w:rPr>
              <w:t xml:space="preserve"> 38.1</w:t>
            </w:r>
          </w:p>
        </w:tc>
        <w:tc>
          <w:tcPr>
            <w:tcW w:w="8079" w:type="dxa"/>
            <w:vAlign w:val="center"/>
          </w:tcPr>
          <w:p w:rsidR="00B06433" w:rsidRPr="000A1B93" w:rsidRDefault="00B06433" w:rsidP="00635958">
            <w:pPr>
              <w:spacing w:before="120" w:after="120" w:line="240" w:lineRule="auto"/>
              <w:ind w:right="95"/>
              <w:rPr>
                <w:b/>
                <w:szCs w:val="24"/>
              </w:rPr>
            </w:pPr>
            <w:r w:rsidRPr="000A1B93">
              <w:rPr>
                <w:b/>
                <w:szCs w:val="24"/>
              </w:rPr>
              <w:t>Vigencia del Contrato</w:t>
            </w:r>
          </w:p>
          <w:p w:rsidR="00B06433" w:rsidRPr="00165D11" w:rsidRDefault="00B06433">
            <w:pPr>
              <w:spacing w:before="120" w:after="120" w:line="240" w:lineRule="auto"/>
              <w:ind w:right="95"/>
              <w:rPr>
                <w:strike/>
                <w:sz w:val="22"/>
                <w:szCs w:val="24"/>
              </w:rPr>
            </w:pPr>
            <w:r w:rsidRPr="000A1B93">
              <w:rPr>
                <w:szCs w:val="24"/>
                <w:lang w:eastAsia="en-US"/>
              </w:rPr>
              <w:t xml:space="preserve">El plazo de vigencia del Contrato es de </w:t>
            </w:r>
            <w:r w:rsidRPr="00165D11">
              <w:rPr>
                <w:szCs w:val="24"/>
                <w:lang w:eastAsia="en-US"/>
              </w:rPr>
              <w:t xml:space="preserve">diez (10) años </w:t>
            </w:r>
            <w:r w:rsidRPr="003D7BA1">
              <w:rPr>
                <w:szCs w:val="24"/>
                <w:lang w:eastAsia="en-US"/>
              </w:rPr>
              <w:t>cont</w:t>
            </w:r>
            <w:r w:rsidRPr="000A1B93">
              <w:rPr>
                <w:szCs w:val="24"/>
                <w:lang w:eastAsia="en-US"/>
              </w:rPr>
              <w:t>ado</w:t>
            </w:r>
            <w:r>
              <w:rPr>
                <w:szCs w:val="24"/>
                <w:lang w:eastAsia="en-US"/>
              </w:rPr>
              <w:t>s a</w:t>
            </w:r>
            <w:r w:rsidRPr="000A1B93">
              <w:rPr>
                <w:szCs w:val="24"/>
                <w:lang w:eastAsia="en-US"/>
              </w:rPr>
              <w:t xml:space="preserve"> </w:t>
            </w:r>
            <w:r w:rsidRPr="003F59A4">
              <w:rPr>
                <w:szCs w:val="24"/>
                <w:lang w:eastAsia="en-US"/>
              </w:rPr>
              <w:t>partir de la fecha de inicio de la operación comercial</w:t>
            </w:r>
            <w:r w:rsidRPr="000A1B93">
              <w:rPr>
                <w:szCs w:val="24"/>
                <w:lang w:eastAsia="en-US"/>
              </w:rPr>
              <w:t>.</w:t>
            </w:r>
          </w:p>
        </w:tc>
      </w:tr>
    </w:tbl>
    <w:p w:rsidR="00810F94" w:rsidRPr="00C3719F" w:rsidRDefault="00810F94"/>
    <w:sectPr w:rsidR="00810F94" w:rsidRPr="00C3719F" w:rsidSect="00C3719F">
      <w:headerReference w:type="default" r:id="rId9"/>
      <w:footerReference w:type="default" r:id="rId10"/>
      <w:pgSz w:w="12240" w:h="15840"/>
      <w:pgMar w:top="1236"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B65" w:rsidRDefault="007D3B65" w:rsidP="00C3719F">
      <w:pPr>
        <w:spacing w:line="240" w:lineRule="auto"/>
      </w:pPr>
      <w:r>
        <w:separator/>
      </w:r>
    </w:p>
  </w:endnote>
  <w:endnote w:type="continuationSeparator" w:id="0">
    <w:p w:rsidR="007D3B65" w:rsidRDefault="007D3B65" w:rsidP="00C371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12C" w:rsidRPr="00CB312C" w:rsidRDefault="00CB312C" w:rsidP="00CB312C">
    <w:pPr>
      <w:pStyle w:val="Piedepgina"/>
      <w:pBdr>
        <w:top w:val="single" w:sz="4" w:space="1" w:color="auto"/>
      </w:pBdr>
      <w:tabs>
        <w:tab w:val="clear" w:pos="8838"/>
        <w:tab w:val="left" w:pos="1418"/>
        <w:tab w:val="right" w:pos="9356"/>
      </w:tabs>
      <w:rPr>
        <w:sz w:val="20"/>
      </w:rPr>
    </w:pPr>
    <w:r w:rsidRPr="00CB312C">
      <w:rPr>
        <w:sz w:val="20"/>
        <w:lang w:val="es-MX"/>
      </w:rPr>
      <w:t>Administración Nacional de Electricidad (ANDE)</w:t>
    </w:r>
    <w:r w:rsidRPr="00CB312C">
      <w:rPr>
        <w:sz w:val="20"/>
        <w:lang w:val="es-MX"/>
      </w:rPr>
      <w:tab/>
    </w:r>
    <w:r w:rsidRPr="00CB312C">
      <w:rPr>
        <w:sz w:val="20"/>
        <w:lang w:val="es-MX"/>
      </w:rPr>
      <w:tab/>
    </w:r>
    <w:r w:rsidR="001D70D4" w:rsidRPr="00CB312C">
      <w:rPr>
        <w:rStyle w:val="Nmerodepgina"/>
        <w:sz w:val="20"/>
      </w:rPr>
      <w:fldChar w:fldCharType="begin"/>
    </w:r>
    <w:r w:rsidRPr="00CB312C">
      <w:rPr>
        <w:rStyle w:val="Nmerodepgina"/>
        <w:sz w:val="20"/>
      </w:rPr>
      <w:instrText xml:space="preserve"> PAGE </w:instrText>
    </w:r>
    <w:r w:rsidR="001D70D4" w:rsidRPr="00CB312C">
      <w:rPr>
        <w:rStyle w:val="Nmerodepgina"/>
        <w:sz w:val="20"/>
      </w:rPr>
      <w:fldChar w:fldCharType="separate"/>
    </w:r>
    <w:r w:rsidR="0008033B">
      <w:rPr>
        <w:rStyle w:val="Nmerodepgina"/>
        <w:noProof/>
        <w:sz w:val="20"/>
      </w:rPr>
      <w:t>5</w:t>
    </w:r>
    <w:r w:rsidR="001D70D4" w:rsidRPr="00CB312C">
      <w:rPr>
        <w:rStyle w:val="Nmerodepgina"/>
        <w:sz w:val="20"/>
      </w:rPr>
      <w:fldChar w:fldCharType="end"/>
    </w:r>
  </w:p>
  <w:p w:rsidR="00CB312C" w:rsidRDefault="00CB312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B65" w:rsidRDefault="007D3B65" w:rsidP="00C3719F">
      <w:pPr>
        <w:spacing w:line="240" w:lineRule="auto"/>
      </w:pPr>
      <w:r>
        <w:separator/>
      </w:r>
    </w:p>
  </w:footnote>
  <w:footnote w:type="continuationSeparator" w:id="0">
    <w:p w:rsidR="007D3B65" w:rsidRDefault="007D3B65" w:rsidP="00C371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8A" w:rsidRPr="00C3719F" w:rsidRDefault="00680B8A" w:rsidP="00C3719F">
    <w:pPr>
      <w:pStyle w:val="Encabezado"/>
      <w:widowControl/>
      <w:pBdr>
        <w:bottom w:val="single" w:sz="4" w:space="1" w:color="000000"/>
      </w:pBdr>
      <w:tabs>
        <w:tab w:val="clear" w:pos="4419"/>
        <w:tab w:val="clear" w:pos="8838"/>
        <w:tab w:val="right" w:pos="9000"/>
      </w:tabs>
      <w:adjustRightInd/>
      <w:ind w:right="-18"/>
      <w:textAlignment w:val="auto"/>
      <w:rPr>
        <w:rFonts w:ascii="Times New Roman" w:eastAsia="Times New Roman" w:hAnsi="Times New Roman"/>
        <w:lang w:val="es-ES" w:eastAsia="en-US"/>
      </w:rPr>
    </w:pPr>
    <w:r w:rsidRPr="00C3719F">
      <w:rPr>
        <w:rFonts w:ascii="Times New Roman" w:eastAsia="Times New Roman" w:hAnsi="Times New Roman"/>
        <w:lang w:val="es-ES" w:eastAsia="en-US"/>
      </w:rPr>
      <w:t>Sección V</w:t>
    </w:r>
    <w:r>
      <w:rPr>
        <w:rFonts w:ascii="Times New Roman" w:eastAsia="Times New Roman" w:hAnsi="Times New Roman"/>
        <w:lang w:val="es-ES" w:eastAsia="en-US"/>
      </w:rPr>
      <w:t>II</w:t>
    </w:r>
    <w:r w:rsidRPr="00C3719F">
      <w:rPr>
        <w:rFonts w:ascii="Times New Roman" w:eastAsia="Times New Roman" w:hAnsi="Times New Roman"/>
        <w:lang w:val="es-ES" w:eastAsia="en-US"/>
      </w:rPr>
      <w:t xml:space="preserve">. </w:t>
    </w:r>
    <w:r>
      <w:rPr>
        <w:rFonts w:ascii="Times New Roman" w:eastAsia="Times New Roman" w:hAnsi="Times New Roman"/>
        <w:lang w:val="es-ES" w:eastAsia="en-US"/>
      </w:rPr>
      <w:t>Condiciones Especiales del Contrato</w:t>
    </w:r>
    <w:r w:rsidRPr="00C3719F">
      <w:rPr>
        <w:rFonts w:ascii="Times New Roman" w:eastAsia="Times New Roman" w:hAnsi="Times New Roman"/>
        <w:lang w:val="es-ES" w:eastAsia="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11738"/>
    <w:multiLevelType w:val="hybridMultilevel"/>
    <w:tmpl w:val="A67A2F4A"/>
    <w:lvl w:ilvl="0" w:tplc="D80E4DDE">
      <w:start w:val="1"/>
      <w:numFmt w:val="lowerLetter"/>
      <w:lvlText w:val="%1)"/>
      <w:lvlJc w:val="left"/>
      <w:pPr>
        <w:ind w:left="720" w:hanging="360"/>
      </w:pPr>
      <w:rPr>
        <w:rFonts w:cs="Times New Roman" w:hint="default"/>
        <w:i/>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1">
    <w:nsid w:val="21027147"/>
    <w:multiLevelType w:val="hybridMultilevel"/>
    <w:tmpl w:val="93C0D72A"/>
    <w:lvl w:ilvl="0" w:tplc="ECAAC8BE">
      <w:start w:val="1"/>
      <w:numFmt w:val="decimal"/>
      <w:lvlText w:val="%1.)"/>
      <w:lvlJc w:val="left"/>
      <w:pPr>
        <w:ind w:left="720" w:hanging="360"/>
      </w:p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2">
    <w:nsid w:val="32E828AC"/>
    <w:multiLevelType w:val="hybridMultilevel"/>
    <w:tmpl w:val="593E224C"/>
    <w:lvl w:ilvl="0" w:tplc="23D4E116">
      <w:start w:val="1"/>
      <w:numFmt w:val="lowerLetter"/>
      <w:lvlText w:val="(%1)"/>
      <w:lvlJc w:val="left"/>
      <w:pPr>
        <w:tabs>
          <w:tab w:val="num" w:pos="720"/>
        </w:tabs>
        <w:ind w:left="720" w:hanging="360"/>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484D0082"/>
    <w:multiLevelType w:val="hybridMultilevel"/>
    <w:tmpl w:val="A808D07C"/>
    <w:lvl w:ilvl="0" w:tplc="DAE4041E">
      <w:start w:val="1"/>
      <w:numFmt w:val="lowerLetter"/>
      <w:lvlText w:val="(%1)"/>
      <w:lvlJc w:val="left"/>
      <w:pPr>
        <w:tabs>
          <w:tab w:val="num" w:pos="1052"/>
        </w:tabs>
        <w:ind w:left="1052" w:hanging="390"/>
      </w:pPr>
      <w:rPr>
        <w:rFonts w:cs="Times New Roman" w:hint="default"/>
        <w:sz w:val="24"/>
        <w:szCs w:val="24"/>
      </w:rPr>
    </w:lvl>
    <w:lvl w:ilvl="1" w:tplc="0C0A0019" w:tentative="1">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4E2A60A4"/>
    <w:multiLevelType w:val="hybridMultilevel"/>
    <w:tmpl w:val="FC0C0500"/>
    <w:lvl w:ilvl="0" w:tplc="53D8FD86">
      <w:start w:val="1"/>
      <w:numFmt w:val="lowerLetter"/>
      <w:lvlText w:val="(%1)"/>
      <w:lvlJc w:val="left"/>
      <w:pPr>
        <w:tabs>
          <w:tab w:val="num" w:pos="748"/>
        </w:tabs>
        <w:ind w:left="748" w:hanging="360"/>
      </w:pPr>
      <w:rPr>
        <w:rFonts w:cs="Times New Roman" w:hint="default"/>
        <w:b w:val="0"/>
        <w:sz w:val="22"/>
        <w:szCs w:val="22"/>
      </w:rPr>
    </w:lvl>
    <w:lvl w:ilvl="1" w:tplc="0C0A0019" w:tentative="1">
      <w:start w:val="1"/>
      <w:numFmt w:val="lowerLetter"/>
      <w:lvlText w:val="%2."/>
      <w:lvlJc w:val="left"/>
      <w:pPr>
        <w:tabs>
          <w:tab w:val="num" w:pos="1468"/>
        </w:tabs>
        <w:ind w:left="1468" w:hanging="360"/>
      </w:pPr>
      <w:rPr>
        <w:rFonts w:cs="Times New Roman"/>
      </w:rPr>
    </w:lvl>
    <w:lvl w:ilvl="2" w:tplc="0C0A001B" w:tentative="1">
      <w:start w:val="1"/>
      <w:numFmt w:val="lowerRoman"/>
      <w:lvlText w:val="%3."/>
      <w:lvlJc w:val="right"/>
      <w:pPr>
        <w:tabs>
          <w:tab w:val="num" w:pos="2188"/>
        </w:tabs>
        <w:ind w:left="2188" w:hanging="180"/>
      </w:pPr>
      <w:rPr>
        <w:rFonts w:cs="Times New Roman"/>
      </w:rPr>
    </w:lvl>
    <w:lvl w:ilvl="3" w:tplc="0C0A000F" w:tentative="1">
      <w:start w:val="1"/>
      <w:numFmt w:val="decimal"/>
      <w:lvlText w:val="%4."/>
      <w:lvlJc w:val="left"/>
      <w:pPr>
        <w:tabs>
          <w:tab w:val="num" w:pos="2908"/>
        </w:tabs>
        <w:ind w:left="2908" w:hanging="360"/>
      </w:pPr>
      <w:rPr>
        <w:rFonts w:cs="Times New Roman"/>
      </w:rPr>
    </w:lvl>
    <w:lvl w:ilvl="4" w:tplc="0C0A0019" w:tentative="1">
      <w:start w:val="1"/>
      <w:numFmt w:val="lowerLetter"/>
      <w:lvlText w:val="%5."/>
      <w:lvlJc w:val="left"/>
      <w:pPr>
        <w:tabs>
          <w:tab w:val="num" w:pos="3628"/>
        </w:tabs>
        <w:ind w:left="3628" w:hanging="360"/>
      </w:pPr>
      <w:rPr>
        <w:rFonts w:cs="Times New Roman"/>
      </w:rPr>
    </w:lvl>
    <w:lvl w:ilvl="5" w:tplc="0C0A001B" w:tentative="1">
      <w:start w:val="1"/>
      <w:numFmt w:val="lowerRoman"/>
      <w:lvlText w:val="%6."/>
      <w:lvlJc w:val="right"/>
      <w:pPr>
        <w:tabs>
          <w:tab w:val="num" w:pos="4348"/>
        </w:tabs>
        <w:ind w:left="4348" w:hanging="180"/>
      </w:pPr>
      <w:rPr>
        <w:rFonts w:cs="Times New Roman"/>
      </w:rPr>
    </w:lvl>
    <w:lvl w:ilvl="6" w:tplc="0C0A000F" w:tentative="1">
      <w:start w:val="1"/>
      <w:numFmt w:val="decimal"/>
      <w:lvlText w:val="%7."/>
      <w:lvlJc w:val="left"/>
      <w:pPr>
        <w:tabs>
          <w:tab w:val="num" w:pos="5068"/>
        </w:tabs>
        <w:ind w:left="5068" w:hanging="360"/>
      </w:pPr>
      <w:rPr>
        <w:rFonts w:cs="Times New Roman"/>
      </w:rPr>
    </w:lvl>
    <w:lvl w:ilvl="7" w:tplc="0C0A0019" w:tentative="1">
      <w:start w:val="1"/>
      <w:numFmt w:val="lowerLetter"/>
      <w:lvlText w:val="%8."/>
      <w:lvlJc w:val="left"/>
      <w:pPr>
        <w:tabs>
          <w:tab w:val="num" w:pos="5788"/>
        </w:tabs>
        <w:ind w:left="5788" w:hanging="360"/>
      </w:pPr>
      <w:rPr>
        <w:rFonts w:cs="Times New Roman"/>
      </w:rPr>
    </w:lvl>
    <w:lvl w:ilvl="8" w:tplc="0C0A001B" w:tentative="1">
      <w:start w:val="1"/>
      <w:numFmt w:val="lowerRoman"/>
      <w:lvlText w:val="%9."/>
      <w:lvlJc w:val="right"/>
      <w:pPr>
        <w:tabs>
          <w:tab w:val="num" w:pos="6508"/>
        </w:tabs>
        <w:ind w:left="6508" w:hanging="180"/>
      </w:pPr>
      <w:rPr>
        <w:rFonts w:cs="Times New Roman"/>
      </w:rPr>
    </w:lvl>
  </w:abstractNum>
  <w:abstractNum w:abstractNumId="5">
    <w:nsid w:val="5B970A8C"/>
    <w:multiLevelType w:val="hybridMultilevel"/>
    <w:tmpl w:val="590E094E"/>
    <w:lvl w:ilvl="0" w:tplc="3BCA22AE">
      <w:start w:val="1"/>
      <w:numFmt w:val="lowerLetter"/>
      <w:lvlText w:val="%1)"/>
      <w:lvlJc w:val="left"/>
      <w:pPr>
        <w:ind w:left="720" w:hanging="360"/>
      </w:pPr>
      <w:rPr>
        <w:rFonts w:cs="Times New Roman" w:hint="default"/>
        <w:i w:val="0"/>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6">
    <w:nsid w:val="5D293DD8"/>
    <w:multiLevelType w:val="multilevel"/>
    <w:tmpl w:val="CB1A1EAC"/>
    <w:lvl w:ilvl="0">
      <w:start w:val="6"/>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660"/>
        </w:tabs>
        <w:ind w:left="660" w:hanging="480"/>
      </w:pPr>
      <w:rPr>
        <w:rFonts w:cs="Times New Roman" w:hint="default"/>
      </w:rPr>
    </w:lvl>
    <w:lvl w:ilvl="2">
      <w:start w:val="1"/>
      <w:numFmt w:val="lowerRoman"/>
      <w:lvlText w:val="(%3)"/>
      <w:lvlJc w:val="left"/>
      <w:pPr>
        <w:tabs>
          <w:tab w:val="num" w:pos="720"/>
        </w:tabs>
        <w:ind w:left="720" w:hanging="360"/>
      </w:pPr>
      <w:rPr>
        <w:rFonts w:cs="Times New Roman" w:hint="default"/>
        <w:b w:val="0"/>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abstractNumId w:val="5"/>
  </w:num>
  <w:num w:numId="2">
    <w:abstractNumId w:val="0"/>
  </w:num>
  <w:num w:numId="3">
    <w:abstractNumId w:val="2"/>
  </w:num>
  <w:num w:numId="4">
    <w:abstractNumId w:val="3"/>
  </w:num>
  <w:num w:numId="5">
    <w:abstractNumId w:val="4"/>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3719F"/>
    <w:rsid w:val="00056525"/>
    <w:rsid w:val="00061E46"/>
    <w:rsid w:val="00074C29"/>
    <w:rsid w:val="0008033B"/>
    <w:rsid w:val="0008385B"/>
    <w:rsid w:val="00084759"/>
    <w:rsid w:val="0009549F"/>
    <w:rsid w:val="00097D20"/>
    <w:rsid w:val="000A1B93"/>
    <w:rsid w:val="000D2343"/>
    <w:rsid w:val="000D7218"/>
    <w:rsid w:val="000E55BA"/>
    <w:rsid w:val="00126E9C"/>
    <w:rsid w:val="00134ADF"/>
    <w:rsid w:val="00136AA5"/>
    <w:rsid w:val="00137F06"/>
    <w:rsid w:val="00150271"/>
    <w:rsid w:val="00162FDD"/>
    <w:rsid w:val="00165D11"/>
    <w:rsid w:val="0018161B"/>
    <w:rsid w:val="00185498"/>
    <w:rsid w:val="00197860"/>
    <w:rsid w:val="001D39DE"/>
    <w:rsid w:val="001D70D4"/>
    <w:rsid w:val="00216EBD"/>
    <w:rsid w:val="00217324"/>
    <w:rsid w:val="0024755C"/>
    <w:rsid w:val="0026086D"/>
    <w:rsid w:val="00275A07"/>
    <w:rsid w:val="00276803"/>
    <w:rsid w:val="00277814"/>
    <w:rsid w:val="00286FAF"/>
    <w:rsid w:val="00290665"/>
    <w:rsid w:val="002B3F4D"/>
    <w:rsid w:val="002C5F5C"/>
    <w:rsid w:val="002E4673"/>
    <w:rsid w:val="002F319C"/>
    <w:rsid w:val="003461D7"/>
    <w:rsid w:val="00355DFF"/>
    <w:rsid w:val="003568C4"/>
    <w:rsid w:val="003570AF"/>
    <w:rsid w:val="00383300"/>
    <w:rsid w:val="003A2672"/>
    <w:rsid w:val="003B4530"/>
    <w:rsid w:val="003B6206"/>
    <w:rsid w:val="003B64F6"/>
    <w:rsid w:val="003C39DA"/>
    <w:rsid w:val="003D7BA1"/>
    <w:rsid w:val="003F59A4"/>
    <w:rsid w:val="004129ED"/>
    <w:rsid w:val="00424F27"/>
    <w:rsid w:val="00440AAA"/>
    <w:rsid w:val="004573C9"/>
    <w:rsid w:val="00457448"/>
    <w:rsid w:val="004756A9"/>
    <w:rsid w:val="00482151"/>
    <w:rsid w:val="00482B0F"/>
    <w:rsid w:val="00482BA2"/>
    <w:rsid w:val="0049778D"/>
    <w:rsid w:val="004A05CD"/>
    <w:rsid w:val="004A2EC9"/>
    <w:rsid w:val="004A58E0"/>
    <w:rsid w:val="004B4325"/>
    <w:rsid w:val="004C5404"/>
    <w:rsid w:val="005128F4"/>
    <w:rsid w:val="005C05F0"/>
    <w:rsid w:val="005D748B"/>
    <w:rsid w:val="005E32CC"/>
    <w:rsid w:val="005E3B0A"/>
    <w:rsid w:val="005E4FDB"/>
    <w:rsid w:val="00613977"/>
    <w:rsid w:val="00624CAA"/>
    <w:rsid w:val="00635958"/>
    <w:rsid w:val="006614E7"/>
    <w:rsid w:val="00680B8A"/>
    <w:rsid w:val="006F41AA"/>
    <w:rsid w:val="00793C50"/>
    <w:rsid w:val="007B18F6"/>
    <w:rsid w:val="007D3B65"/>
    <w:rsid w:val="007E7FBB"/>
    <w:rsid w:val="0080747E"/>
    <w:rsid w:val="00810C49"/>
    <w:rsid w:val="00810F94"/>
    <w:rsid w:val="00820392"/>
    <w:rsid w:val="008425FC"/>
    <w:rsid w:val="00845F3E"/>
    <w:rsid w:val="008520B1"/>
    <w:rsid w:val="008664D6"/>
    <w:rsid w:val="00872A66"/>
    <w:rsid w:val="008B1ADA"/>
    <w:rsid w:val="008B776C"/>
    <w:rsid w:val="008E0DC1"/>
    <w:rsid w:val="00904BEB"/>
    <w:rsid w:val="00906958"/>
    <w:rsid w:val="009124C7"/>
    <w:rsid w:val="009133F2"/>
    <w:rsid w:val="00916C27"/>
    <w:rsid w:val="009339A6"/>
    <w:rsid w:val="0093770C"/>
    <w:rsid w:val="00954336"/>
    <w:rsid w:val="00965D42"/>
    <w:rsid w:val="00981C80"/>
    <w:rsid w:val="009B0A24"/>
    <w:rsid w:val="009C6E7A"/>
    <w:rsid w:val="009D7EBE"/>
    <w:rsid w:val="009E5C07"/>
    <w:rsid w:val="00A00410"/>
    <w:rsid w:val="00A116F1"/>
    <w:rsid w:val="00A13F6B"/>
    <w:rsid w:val="00A453FA"/>
    <w:rsid w:val="00A70273"/>
    <w:rsid w:val="00A80A8A"/>
    <w:rsid w:val="00A956DA"/>
    <w:rsid w:val="00A96CA5"/>
    <w:rsid w:val="00AB63A9"/>
    <w:rsid w:val="00AB7356"/>
    <w:rsid w:val="00AD4308"/>
    <w:rsid w:val="00AE30DF"/>
    <w:rsid w:val="00AE77E7"/>
    <w:rsid w:val="00AE7C5C"/>
    <w:rsid w:val="00B06433"/>
    <w:rsid w:val="00B2067B"/>
    <w:rsid w:val="00B34908"/>
    <w:rsid w:val="00B37624"/>
    <w:rsid w:val="00B37E22"/>
    <w:rsid w:val="00B62E8B"/>
    <w:rsid w:val="00B659B5"/>
    <w:rsid w:val="00B6608F"/>
    <w:rsid w:val="00B7259F"/>
    <w:rsid w:val="00B82830"/>
    <w:rsid w:val="00B84097"/>
    <w:rsid w:val="00B860E8"/>
    <w:rsid w:val="00BB0B65"/>
    <w:rsid w:val="00BC6910"/>
    <w:rsid w:val="00BD59A7"/>
    <w:rsid w:val="00C10DBE"/>
    <w:rsid w:val="00C3719F"/>
    <w:rsid w:val="00C57FBE"/>
    <w:rsid w:val="00C7395C"/>
    <w:rsid w:val="00C752E5"/>
    <w:rsid w:val="00C83956"/>
    <w:rsid w:val="00CA2F93"/>
    <w:rsid w:val="00CA5D8C"/>
    <w:rsid w:val="00CA7D56"/>
    <w:rsid w:val="00CB1A65"/>
    <w:rsid w:val="00CB312C"/>
    <w:rsid w:val="00CC44C0"/>
    <w:rsid w:val="00CC5B37"/>
    <w:rsid w:val="00CD2524"/>
    <w:rsid w:val="00D06DE9"/>
    <w:rsid w:val="00D13BA5"/>
    <w:rsid w:val="00D41704"/>
    <w:rsid w:val="00D42017"/>
    <w:rsid w:val="00D63D55"/>
    <w:rsid w:val="00D6451C"/>
    <w:rsid w:val="00D74951"/>
    <w:rsid w:val="00D841F9"/>
    <w:rsid w:val="00D90323"/>
    <w:rsid w:val="00D90C94"/>
    <w:rsid w:val="00DA7A94"/>
    <w:rsid w:val="00DB5CEB"/>
    <w:rsid w:val="00DC17F1"/>
    <w:rsid w:val="00DD2224"/>
    <w:rsid w:val="00DD7739"/>
    <w:rsid w:val="00DE0C8B"/>
    <w:rsid w:val="00DE2705"/>
    <w:rsid w:val="00DF6804"/>
    <w:rsid w:val="00E21B8C"/>
    <w:rsid w:val="00E4194C"/>
    <w:rsid w:val="00E4238A"/>
    <w:rsid w:val="00E516DF"/>
    <w:rsid w:val="00E5255B"/>
    <w:rsid w:val="00E5480A"/>
    <w:rsid w:val="00E62372"/>
    <w:rsid w:val="00EB457A"/>
    <w:rsid w:val="00EC51BA"/>
    <w:rsid w:val="00ED2809"/>
    <w:rsid w:val="00ED3C61"/>
    <w:rsid w:val="00F33A1A"/>
    <w:rsid w:val="00F3543C"/>
    <w:rsid w:val="00F406B8"/>
    <w:rsid w:val="00F57D0D"/>
    <w:rsid w:val="00F6361C"/>
    <w:rsid w:val="00FB144E"/>
    <w:rsid w:val="00FC1D60"/>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19F"/>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C371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3719F"/>
    <w:pPr>
      <w:tabs>
        <w:tab w:val="center" w:pos="4419"/>
        <w:tab w:val="right" w:pos="8838"/>
      </w:tabs>
      <w:spacing w:line="240" w:lineRule="auto"/>
    </w:pPr>
    <w:rPr>
      <w:rFonts w:ascii="Calibri" w:eastAsia="Calibri" w:hAnsi="Calibri"/>
      <w:sz w:val="20"/>
    </w:rPr>
  </w:style>
  <w:style w:type="character" w:customStyle="1" w:styleId="EncabezadoCar">
    <w:name w:val="Encabezado Car"/>
    <w:basedOn w:val="Fuentedeprrafopredeter"/>
    <w:link w:val="Encabezado"/>
    <w:uiPriority w:val="99"/>
    <w:rsid w:val="00C3719F"/>
    <w:rPr>
      <w:rFonts w:ascii="Calibri" w:eastAsia="Calibri" w:hAnsi="Calibri" w:cs="Times New Roman"/>
      <w:sz w:val="20"/>
      <w:szCs w:val="20"/>
      <w:lang w:eastAsia="es-ES"/>
    </w:rPr>
  </w:style>
  <w:style w:type="paragraph" w:styleId="Subttulo">
    <w:name w:val="Subtitle"/>
    <w:basedOn w:val="Normal"/>
    <w:link w:val="SubttuloCar"/>
    <w:uiPriority w:val="99"/>
    <w:qFormat/>
    <w:rsid w:val="00C3719F"/>
    <w:pPr>
      <w:jc w:val="center"/>
    </w:pPr>
    <w:rPr>
      <w:rFonts w:eastAsia="Calibri"/>
      <w:b/>
      <w:sz w:val="20"/>
      <w:lang w:val="es-ES_tradnl"/>
    </w:rPr>
  </w:style>
  <w:style w:type="character" w:customStyle="1" w:styleId="SubttuloCar">
    <w:name w:val="Subtítulo Car"/>
    <w:basedOn w:val="Fuentedeprrafopredeter"/>
    <w:link w:val="Subttulo"/>
    <w:uiPriority w:val="99"/>
    <w:rsid w:val="00C3719F"/>
    <w:rPr>
      <w:rFonts w:ascii="Times New Roman" w:eastAsia="Calibri" w:hAnsi="Times New Roman" w:cs="Times New Roman"/>
      <w:b/>
      <w:sz w:val="20"/>
      <w:szCs w:val="20"/>
      <w:lang w:val="es-ES_tradnl" w:eastAsia="es-ES"/>
    </w:rPr>
  </w:style>
  <w:style w:type="paragraph" w:styleId="Prrafodelista">
    <w:name w:val="List Paragraph"/>
    <w:basedOn w:val="Normal"/>
    <w:uiPriority w:val="34"/>
    <w:qFormat/>
    <w:rsid w:val="00C3719F"/>
    <w:pPr>
      <w:widowControl/>
      <w:adjustRightInd/>
      <w:spacing w:line="240" w:lineRule="auto"/>
      <w:ind w:left="708"/>
      <w:jc w:val="left"/>
      <w:textAlignment w:val="auto"/>
    </w:pPr>
    <w:rPr>
      <w:rFonts w:ascii="Palatino Linotype" w:hAnsi="Palatino Linotype"/>
      <w:sz w:val="20"/>
      <w:lang w:val="es-ES_tradnl" w:eastAsia="en-US"/>
    </w:rPr>
  </w:style>
  <w:style w:type="paragraph" w:styleId="Textoindependiente2">
    <w:name w:val="Body Text 2"/>
    <w:basedOn w:val="Normal"/>
    <w:link w:val="Textoindependiente2Car"/>
    <w:uiPriority w:val="99"/>
    <w:rsid w:val="00C3719F"/>
    <w:pPr>
      <w:spacing w:after="120" w:line="480" w:lineRule="auto"/>
    </w:pPr>
    <w:rPr>
      <w:rFonts w:eastAsia="Calibri"/>
      <w:sz w:val="20"/>
    </w:rPr>
  </w:style>
  <w:style w:type="character" w:customStyle="1" w:styleId="Textoindependiente2Car">
    <w:name w:val="Texto independiente 2 Car"/>
    <w:basedOn w:val="Fuentedeprrafopredeter"/>
    <w:link w:val="Textoindependiente2"/>
    <w:uiPriority w:val="99"/>
    <w:rsid w:val="00C3719F"/>
    <w:rPr>
      <w:rFonts w:ascii="Times New Roman" w:eastAsia="Calibri" w:hAnsi="Times New Roman" w:cs="Times New Roman"/>
      <w:sz w:val="20"/>
      <w:szCs w:val="20"/>
      <w:lang w:eastAsia="es-ES"/>
    </w:rPr>
  </w:style>
  <w:style w:type="paragraph" w:customStyle="1" w:styleId="Sub-ClauseText">
    <w:name w:val="Sub-Clause Text"/>
    <w:basedOn w:val="Normal"/>
    <w:uiPriority w:val="99"/>
    <w:rsid w:val="00C3719F"/>
    <w:pPr>
      <w:spacing w:before="120" w:after="120"/>
    </w:pPr>
    <w:rPr>
      <w:spacing w:val="-4"/>
      <w:lang w:val="en-US" w:eastAsia="en-US"/>
    </w:rPr>
  </w:style>
  <w:style w:type="paragraph" w:customStyle="1" w:styleId="SectionXHeader3">
    <w:name w:val="Section X Header 3"/>
    <w:basedOn w:val="Ttulo1"/>
    <w:autoRedefine/>
    <w:uiPriority w:val="99"/>
    <w:rsid w:val="00C3719F"/>
    <w:pPr>
      <w:keepNext w:val="0"/>
      <w:keepLines w:val="0"/>
      <w:spacing w:before="120" w:after="120" w:line="240" w:lineRule="auto"/>
      <w:ind w:left="34" w:right="57"/>
      <w:outlineLvl w:val="9"/>
    </w:pPr>
    <w:rPr>
      <w:rFonts w:ascii="Arial" w:eastAsia="Calibri" w:hAnsi="Arial" w:cs="Arial"/>
      <w:b w:val="0"/>
      <w:bCs w:val="0"/>
      <w:color w:val="auto"/>
      <w:spacing w:val="-2"/>
      <w:sz w:val="22"/>
      <w:szCs w:val="22"/>
      <w:lang w:val="es-MX"/>
    </w:rPr>
  </w:style>
  <w:style w:type="paragraph" w:styleId="Sangradetextonormal">
    <w:name w:val="Body Text Indent"/>
    <w:basedOn w:val="Normal"/>
    <w:link w:val="SangradetextonormalCar"/>
    <w:uiPriority w:val="99"/>
    <w:rsid w:val="00C3719F"/>
    <w:pPr>
      <w:spacing w:after="120"/>
      <w:ind w:left="283"/>
    </w:pPr>
    <w:rPr>
      <w:rFonts w:eastAsia="Calibri"/>
      <w:sz w:val="20"/>
    </w:rPr>
  </w:style>
  <w:style w:type="character" w:customStyle="1" w:styleId="SangradetextonormalCar">
    <w:name w:val="Sangría de texto normal Car"/>
    <w:basedOn w:val="Fuentedeprrafopredeter"/>
    <w:link w:val="Sangradetextonormal"/>
    <w:uiPriority w:val="99"/>
    <w:rsid w:val="00C3719F"/>
    <w:rPr>
      <w:rFonts w:ascii="Times New Roman" w:eastAsia="Calibri" w:hAnsi="Times New Roman" w:cs="Times New Roman"/>
      <w:sz w:val="20"/>
      <w:szCs w:val="20"/>
      <w:lang w:eastAsia="es-ES"/>
    </w:rPr>
  </w:style>
  <w:style w:type="paragraph" w:customStyle="1" w:styleId="Default">
    <w:name w:val="Default"/>
    <w:uiPriority w:val="99"/>
    <w:rsid w:val="00C3719F"/>
    <w:pPr>
      <w:autoSpaceDE w:val="0"/>
      <w:autoSpaceDN w:val="0"/>
      <w:adjustRightInd w:val="0"/>
      <w:spacing w:after="0" w:line="240" w:lineRule="auto"/>
    </w:pPr>
    <w:rPr>
      <w:rFonts w:ascii="Arial" w:eastAsia="Calibri" w:hAnsi="Arial" w:cs="Arial"/>
      <w:color w:val="000000"/>
      <w:sz w:val="24"/>
      <w:szCs w:val="24"/>
    </w:rPr>
  </w:style>
  <w:style w:type="character" w:customStyle="1" w:styleId="Ttulo1Car">
    <w:name w:val="Título 1 Car"/>
    <w:basedOn w:val="Fuentedeprrafopredeter"/>
    <w:link w:val="Ttulo1"/>
    <w:uiPriority w:val="9"/>
    <w:rsid w:val="00C3719F"/>
    <w:rPr>
      <w:rFonts w:asciiTheme="majorHAnsi" w:eastAsiaTheme="majorEastAsia" w:hAnsiTheme="majorHAnsi" w:cstheme="majorBidi"/>
      <w:b/>
      <w:bCs/>
      <w:color w:val="365F91" w:themeColor="accent1" w:themeShade="BF"/>
      <w:sz w:val="28"/>
      <w:szCs w:val="28"/>
      <w:lang w:eastAsia="es-ES"/>
    </w:rPr>
  </w:style>
  <w:style w:type="paragraph" w:styleId="Piedepgina">
    <w:name w:val="footer"/>
    <w:basedOn w:val="Normal"/>
    <w:link w:val="PiedepginaCar"/>
    <w:unhideWhenUsed/>
    <w:rsid w:val="00C3719F"/>
    <w:pPr>
      <w:tabs>
        <w:tab w:val="center" w:pos="4419"/>
        <w:tab w:val="right" w:pos="8838"/>
      </w:tabs>
      <w:spacing w:line="240" w:lineRule="auto"/>
    </w:pPr>
  </w:style>
  <w:style w:type="character" w:customStyle="1" w:styleId="PiedepginaCar">
    <w:name w:val="Pie de página Car"/>
    <w:basedOn w:val="Fuentedeprrafopredeter"/>
    <w:link w:val="Piedepgina"/>
    <w:rsid w:val="00C3719F"/>
    <w:rPr>
      <w:rFonts w:ascii="Times New Roman" w:eastAsia="Times New Roman" w:hAnsi="Times New Roman" w:cs="Times New Roman"/>
      <w:sz w:val="24"/>
      <w:szCs w:val="20"/>
      <w:lang w:eastAsia="es-ES"/>
    </w:rPr>
  </w:style>
  <w:style w:type="character" w:styleId="Nmerodepgina">
    <w:name w:val="page number"/>
    <w:basedOn w:val="Fuentedeprrafopredeter"/>
    <w:rsid w:val="00C3719F"/>
  </w:style>
  <w:style w:type="character" w:styleId="Hipervnculo">
    <w:name w:val="Hyperlink"/>
    <w:basedOn w:val="Fuentedeprrafopredeter"/>
    <w:uiPriority w:val="99"/>
    <w:rsid w:val="00C3719F"/>
    <w:rPr>
      <w:rFonts w:cs="Times New Roman"/>
      <w:color w:val="0000FF"/>
      <w:u w:val="single"/>
    </w:rPr>
  </w:style>
  <w:style w:type="paragraph" w:customStyle="1" w:styleId="Style2">
    <w:name w:val="Style 2"/>
    <w:basedOn w:val="Normal"/>
    <w:uiPriority w:val="99"/>
    <w:rsid w:val="00C3719F"/>
    <w:pPr>
      <w:autoSpaceDE w:val="0"/>
      <w:autoSpaceDN w:val="0"/>
      <w:spacing w:line="240" w:lineRule="auto"/>
      <w:jc w:val="left"/>
      <w:textAlignment w:val="auto"/>
    </w:pPr>
    <w:rPr>
      <w:rFonts w:eastAsiaTheme="minorEastAsia"/>
      <w:sz w:val="20"/>
      <w:lang w:val="en-US" w:eastAsia="es-PY"/>
    </w:rPr>
  </w:style>
  <w:style w:type="character" w:customStyle="1" w:styleId="CharacterStyle2">
    <w:name w:val="Character Style 2"/>
    <w:uiPriority w:val="99"/>
    <w:rsid w:val="00C3719F"/>
    <w:rPr>
      <w:sz w:val="20"/>
      <w:szCs w:val="20"/>
    </w:rPr>
  </w:style>
  <w:style w:type="paragraph" w:styleId="Textodeglobo">
    <w:name w:val="Balloon Text"/>
    <w:basedOn w:val="Normal"/>
    <w:link w:val="TextodegloboCar"/>
    <w:uiPriority w:val="99"/>
    <w:semiHidden/>
    <w:unhideWhenUsed/>
    <w:rsid w:val="009339A6"/>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39A6"/>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rsid w:val="00136AA5"/>
    <w:rPr>
      <w:sz w:val="16"/>
      <w:szCs w:val="16"/>
    </w:rPr>
  </w:style>
  <w:style w:type="paragraph" w:styleId="Textocomentario">
    <w:name w:val="annotation text"/>
    <w:basedOn w:val="Normal"/>
    <w:link w:val="TextocomentarioCar"/>
    <w:uiPriority w:val="99"/>
    <w:semiHidden/>
    <w:unhideWhenUsed/>
    <w:rsid w:val="00136AA5"/>
    <w:pPr>
      <w:spacing w:line="240" w:lineRule="auto"/>
    </w:pPr>
    <w:rPr>
      <w:sz w:val="20"/>
    </w:rPr>
  </w:style>
  <w:style w:type="character" w:customStyle="1" w:styleId="TextocomentarioCar">
    <w:name w:val="Texto comentario Car"/>
    <w:basedOn w:val="Fuentedeprrafopredeter"/>
    <w:link w:val="Textocomentario"/>
    <w:uiPriority w:val="99"/>
    <w:semiHidden/>
    <w:rsid w:val="00136AA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36AA5"/>
    <w:rPr>
      <w:b/>
      <w:bCs/>
    </w:rPr>
  </w:style>
  <w:style w:type="character" w:customStyle="1" w:styleId="AsuntodelcomentarioCar">
    <w:name w:val="Asunto del comentario Car"/>
    <w:basedOn w:val="TextocomentarioCar"/>
    <w:link w:val="Asuntodelcomentario"/>
    <w:uiPriority w:val="99"/>
    <w:semiHidden/>
    <w:rsid w:val="00136AA5"/>
    <w:rPr>
      <w:rFonts w:ascii="Times New Roman" w:eastAsia="Times New Roman" w:hAnsi="Times New Roman" w:cs="Times New Roman"/>
      <w:b/>
      <w:bCs/>
      <w:sz w:val="20"/>
      <w:szCs w:val="20"/>
      <w:lang w:eastAsia="es-ES"/>
    </w:rPr>
  </w:style>
  <w:style w:type="paragraph" w:styleId="Revisin">
    <w:name w:val="Revision"/>
    <w:hidden/>
    <w:uiPriority w:val="99"/>
    <w:semiHidden/>
    <w:rsid w:val="00AB7356"/>
    <w:pPr>
      <w:spacing w:after="0" w:line="240" w:lineRule="auto"/>
    </w:pPr>
    <w:rPr>
      <w:rFonts w:ascii="Times New Roman" w:eastAsia="Times New Roman" w:hAnsi="Times New Roman" w:cs="Times New Roman"/>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559496">
      <w:bodyDiv w:val="1"/>
      <w:marLeft w:val="0"/>
      <w:marRight w:val="0"/>
      <w:marTop w:val="0"/>
      <w:marBottom w:val="0"/>
      <w:divBdr>
        <w:top w:val="none" w:sz="0" w:space="0" w:color="auto"/>
        <w:left w:val="none" w:sz="0" w:space="0" w:color="auto"/>
        <w:bottom w:val="none" w:sz="0" w:space="0" w:color="auto"/>
        <w:right w:val="none" w:sz="0" w:space="0" w:color="auto"/>
      </w:divBdr>
    </w:div>
    <w:div w:id="107767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e@ande.gov.p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7</Pages>
  <Words>2398</Words>
  <Characters>13190</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asu05842</dc:creator>
  <cp:lastModifiedBy>asu06042</cp:lastModifiedBy>
  <cp:revision>23</cp:revision>
  <cp:lastPrinted>2014-11-12T18:48:00Z</cp:lastPrinted>
  <dcterms:created xsi:type="dcterms:W3CDTF">2016-08-31T15:44:00Z</dcterms:created>
  <dcterms:modified xsi:type="dcterms:W3CDTF">2016-09-15T14:46:00Z</dcterms:modified>
</cp:coreProperties>
</file>